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22402" w14:textId="77777777" w:rsidR="000B4742" w:rsidRPr="00BA014B" w:rsidRDefault="000B4742" w:rsidP="00C26CB9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cs="Times New Roman"/>
          <w:b/>
          <w:bCs/>
          <w:color w:val="000000"/>
          <w:sz w:val="28"/>
          <w:szCs w:val="24"/>
        </w:rPr>
      </w:pPr>
      <w:r w:rsidRPr="00BA014B">
        <w:rPr>
          <w:rFonts w:cs="Times New Roman"/>
          <w:b/>
          <w:bCs/>
          <w:color w:val="000000"/>
          <w:sz w:val="28"/>
          <w:szCs w:val="24"/>
        </w:rPr>
        <w:t xml:space="preserve">DEFENDANT </w:t>
      </w:r>
      <w:r w:rsidR="00BA014B" w:rsidRPr="00BA014B">
        <w:rPr>
          <w:rFonts w:cs="Times New Roman"/>
          <w:b/>
          <w:bCs/>
          <w:color w:val="000000"/>
          <w:sz w:val="28"/>
          <w:szCs w:val="24"/>
        </w:rPr>
        <w:t>PROCEDURES</w:t>
      </w:r>
    </w:p>
    <w:p w14:paraId="6BBC638D" w14:textId="77777777" w:rsidR="000B4742" w:rsidRPr="00BA014B" w:rsidRDefault="000B4742" w:rsidP="00C26CB9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cs="Times New Roman"/>
          <w:color w:val="000000"/>
          <w:szCs w:val="24"/>
        </w:rPr>
      </w:pPr>
      <w:r w:rsidRPr="00BA014B">
        <w:rPr>
          <w:rFonts w:cs="Times New Roman"/>
          <w:color w:val="000000"/>
          <w:szCs w:val="24"/>
        </w:rPr>
        <w:t>For a Residential Eviction Action Filed in the Justice Court</w:t>
      </w:r>
    </w:p>
    <w:p w14:paraId="78BDBAFF" w14:textId="77777777" w:rsidR="000B4742" w:rsidRPr="00BA014B" w:rsidRDefault="000B4742" w:rsidP="00C26CB9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cs="Times New Roman"/>
          <w:color w:val="000000"/>
          <w:szCs w:val="24"/>
        </w:rPr>
      </w:pPr>
    </w:p>
    <w:p w14:paraId="21BBAF37" w14:textId="77777777" w:rsidR="000B4742" w:rsidRPr="00BA014B" w:rsidRDefault="000B4742" w:rsidP="00C26CB9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b/>
          <w:bCs/>
          <w:color w:val="000000"/>
          <w:szCs w:val="24"/>
        </w:rPr>
      </w:pPr>
      <w:r w:rsidRPr="00BA014B">
        <w:rPr>
          <w:rFonts w:cs="Times New Roman"/>
          <w:b/>
          <w:bCs/>
          <w:color w:val="000000"/>
          <w:szCs w:val="24"/>
        </w:rPr>
        <w:t>File the Answer</w:t>
      </w:r>
    </w:p>
    <w:p w14:paraId="383D9E15" w14:textId="77777777" w:rsidR="000B4742" w:rsidRPr="00BA014B" w:rsidRDefault="000B4742" w:rsidP="005F19EF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color w:val="000000"/>
          <w:szCs w:val="24"/>
        </w:rPr>
      </w:pPr>
    </w:p>
    <w:p w14:paraId="1A8DF200" w14:textId="77777777" w:rsidR="00CF6F0F" w:rsidRDefault="000B4742" w:rsidP="00CF6F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/>
        <w:contextualSpacing w:val="0"/>
        <w:jc w:val="both"/>
        <w:rPr>
          <w:rFonts w:cs="Times New Roman"/>
          <w:color w:val="000000"/>
          <w:szCs w:val="24"/>
        </w:rPr>
      </w:pPr>
      <w:r w:rsidRPr="00CF6F0F">
        <w:rPr>
          <w:rFonts w:cs="Times New Roman"/>
          <w:color w:val="000000"/>
          <w:szCs w:val="24"/>
        </w:rPr>
        <w:t xml:space="preserve">Bring </w:t>
      </w:r>
      <w:r w:rsidRPr="00CF6F0F">
        <w:rPr>
          <w:rFonts w:cs="Times New Roman"/>
          <w:b/>
          <w:bCs/>
          <w:color w:val="000000"/>
          <w:szCs w:val="24"/>
        </w:rPr>
        <w:t xml:space="preserve">three </w:t>
      </w:r>
      <w:r w:rsidRPr="00CF6F0F">
        <w:rPr>
          <w:rFonts w:cs="Times New Roman"/>
          <w:color w:val="000000"/>
          <w:szCs w:val="24"/>
        </w:rPr>
        <w:t>copies of the answer form to the court identified in the</w:t>
      </w:r>
      <w:r w:rsidR="00BA014B" w:rsidRPr="00CF6F0F">
        <w:rPr>
          <w:rFonts w:cs="Times New Roman"/>
          <w:color w:val="000000"/>
          <w:szCs w:val="24"/>
        </w:rPr>
        <w:t xml:space="preserve"> </w:t>
      </w:r>
      <w:r w:rsidRPr="00CF6F0F">
        <w:rPr>
          <w:rFonts w:cs="Times New Roman"/>
          <w:color w:val="000000"/>
          <w:szCs w:val="24"/>
        </w:rPr>
        <w:t>summons and complaint and pay the appropriate filing fees.</w:t>
      </w:r>
    </w:p>
    <w:p w14:paraId="0F3E5F3C" w14:textId="03F64A53" w:rsidR="000B4742" w:rsidRPr="00CF6F0F" w:rsidRDefault="000B4742" w:rsidP="00CF6F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720"/>
        <w:contextualSpacing w:val="0"/>
        <w:jc w:val="both"/>
        <w:rPr>
          <w:rFonts w:cs="Times New Roman"/>
          <w:color w:val="000000"/>
          <w:szCs w:val="24"/>
        </w:rPr>
      </w:pPr>
      <w:r w:rsidRPr="00CF6F0F">
        <w:rPr>
          <w:rFonts w:cs="Times New Roman"/>
          <w:color w:val="000000"/>
          <w:szCs w:val="24"/>
        </w:rPr>
        <w:t>You must provide a copy of your answer and any attachments filed with the court to the plaintiff(s) or plaintiff’s attorney.</w:t>
      </w:r>
    </w:p>
    <w:p w14:paraId="66D83D69" w14:textId="77777777" w:rsidR="000B4742" w:rsidRPr="00BA014B" w:rsidRDefault="000B4742" w:rsidP="00C26CB9">
      <w:pPr>
        <w:autoSpaceDE w:val="0"/>
        <w:autoSpaceDN w:val="0"/>
        <w:adjustRightInd w:val="0"/>
        <w:spacing w:line="276" w:lineRule="auto"/>
        <w:ind w:left="720"/>
        <w:contextualSpacing w:val="0"/>
        <w:jc w:val="both"/>
        <w:rPr>
          <w:rFonts w:cs="Times New Roman"/>
          <w:color w:val="000000"/>
          <w:szCs w:val="24"/>
        </w:rPr>
      </w:pPr>
    </w:p>
    <w:p w14:paraId="1FF5BC7F" w14:textId="74DFDD6F" w:rsidR="000B4742" w:rsidRPr="00BA014B" w:rsidRDefault="000B4742" w:rsidP="00C26CB9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b/>
          <w:bCs/>
          <w:color w:val="000000"/>
          <w:szCs w:val="24"/>
        </w:rPr>
      </w:pPr>
      <w:r w:rsidRPr="00BA014B">
        <w:rPr>
          <w:rFonts w:cs="Times New Roman"/>
          <w:b/>
          <w:bCs/>
          <w:color w:val="000000"/>
          <w:szCs w:val="24"/>
        </w:rPr>
        <w:t>Initial appearance in court</w:t>
      </w:r>
    </w:p>
    <w:p w14:paraId="314D29B5" w14:textId="77777777" w:rsidR="000B4742" w:rsidRPr="00BA014B" w:rsidRDefault="000B4742" w:rsidP="00C26CB9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b/>
          <w:bCs/>
          <w:color w:val="000000"/>
          <w:szCs w:val="24"/>
        </w:rPr>
      </w:pPr>
    </w:p>
    <w:p w14:paraId="0CA31E79" w14:textId="77777777" w:rsidR="004D14B5" w:rsidRDefault="000B4742" w:rsidP="004D14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/>
        <w:contextualSpacing w:val="0"/>
        <w:rPr>
          <w:rFonts w:cs="Times New Roman"/>
          <w:i/>
          <w:iCs/>
          <w:color w:val="000000"/>
          <w:szCs w:val="24"/>
        </w:rPr>
      </w:pPr>
      <w:r w:rsidRPr="00CF6F0F">
        <w:rPr>
          <w:rFonts w:cs="Times New Roman"/>
          <w:color w:val="000000"/>
          <w:szCs w:val="24"/>
        </w:rPr>
        <w:t xml:space="preserve">At the initial appearance (the date provided on the summons for you to appear in court) the court will call the case and identify the parties.  </w:t>
      </w:r>
      <w:r w:rsidR="00BA014B" w:rsidRPr="00CF6F0F">
        <w:rPr>
          <w:rFonts w:cs="Times New Roman"/>
          <w:color w:val="000000"/>
          <w:szCs w:val="24"/>
        </w:rPr>
        <w:t>The court will determine if the r</w:t>
      </w:r>
      <w:r w:rsidRPr="00CF6F0F">
        <w:rPr>
          <w:rFonts w:cs="Times New Roman"/>
          <w:color w:val="000000"/>
          <w:szCs w:val="24"/>
        </w:rPr>
        <w:t>epresentatives are properly authorized to</w:t>
      </w:r>
      <w:r w:rsidR="00BA014B" w:rsidRPr="00CF6F0F">
        <w:rPr>
          <w:rFonts w:cs="Times New Roman"/>
          <w:color w:val="000000"/>
          <w:szCs w:val="24"/>
        </w:rPr>
        <w:t xml:space="preserve"> </w:t>
      </w:r>
      <w:r w:rsidRPr="00CF6F0F">
        <w:rPr>
          <w:rFonts w:cs="Times New Roman"/>
          <w:color w:val="000000"/>
          <w:szCs w:val="24"/>
        </w:rPr>
        <w:t xml:space="preserve">represent the parties to the action. </w:t>
      </w:r>
      <w:r w:rsidRPr="00CF6F0F">
        <w:rPr>
          <w:rFonts w:cs="Times New Roman"/>
          <w:i/>
          <w:iCs/>
          <w:color w:val="000000"/>
          <w:szCs w:val="24"/>
        </w:rPr>
        <w:t>RPEA Rule 11(a).</w:t>
      </w:r>
    </w:p>
    <w:p w14:paraId="582BE356" w14:textId="77777777" w:rsidR="004D14B5" w:rsidRDefault="000B4742" w:rsidP="004D14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720"/>
        <w:contextualSpacing w:val="0"/>
        <w:rPr>
          <w:rFonts w:cs="Times New Roman"/>
          <w:i/>
          <w:iCs/>
          <w:color w:val="000000"/>
          <w:szCs w:val="24"/>
        </w:rPr>
      </w:pPr>
      <w:r w:rsidRPr="004D14B5">
        <w:rPr>
          <w:rFonts w:cs="Times New Roman"/>
          <w:color w:val="000000"/>
          <w:szCs w:val="24"/>
        </w:rPr>
        <w:t>The court may enter a default judgment against you if you fail to</w:t>
      </w:r>
      <w:r w:rsidR="00BA014B" w:rsidRPr="004D14B5">
        <w:rPr>
          <w:rFonts w:cs="Times New Roman"/>
          <w:color w:val="000000"/>
          <w:szCs w:val="24"/>
        </w:rPr>
        <w:t xml:space="preserve"> </w:t>
      </w:r>
      <w:r w:rsidRPr="004D14B5">
        <w:rPr>
          <w:rFonts w:cs="Times New Roman"/>
          <w:iCs/>
          <w:color w:val="000000"/>
          <w:szCs w:val="24"/>
        </w:rPr>
        <w:t>a</w:t>
      </w:r>
      <w:r w:rsidRPr="004D14B5">
        <w:rPr>
          <w:rFonts w:cs="Times New Roman"/>
          <w:color w:val="000000"/>
          <w:szCs w:val="24"/>
        </w:rPr>
        <w:t xml:space="preserve">ppear in person or through counsel. </w:t>
      </w:r>
      <w:r w:rsidRPr="004D14B5">
        <w:rPr>
          <w:rFonts w:cs="Times New Roman"/>
          <w:i/>
          <w:iCs/>
          <w:color w:val="000000"/>
          <w:szCs w:val="24"/>
        </w:rPr>
        <w:t>RPEA Rule 13(b)(3).</w:t>
      </w:r>
    </w:p>
    <w:p w14:paraId="4ABA37EF" w14:textId="0790C6EB" w:rsidR="00310C48" w:rsidRPr="008F2A52" w:rsidRDefault="000B4742" w:rsidP="004D14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720"/>
        <w:contextualSpacing w:val="0"/>
        <w:rPr>
          <w:rFonts w:cs="Times New Roman"/>
          <w:i/>
          <w:iCs/>
          <w:color w:val="000000"/>
          <w:szCs w:val="24"/>
        </w:rPr>
      </w:pPr>
      <w:r w:rsidRPr="004D14B5">
        <w:rPr>
          <w:rFonts w:cs="Times New Roman"/>
          <w:color w:val="000000"/>
          <w:szCs w:val="24"/>
        </w:rPr>
        <w:t xml:space="preserve">If the complaint </w:t>
      </w:r>
      <w:r w:rsidRPr="008F2A52">
        <w:rPr>
          <w:rFonts w:cs="Times New Roman"/>
          <w:color w:val="000000"/>
          <w:szCs w:val="24"/>
        </w:rPr>
        <w:t>is contested, the court will order a trial on the merits.</w:t>
      </w:r>
      <w:r w:rsidR="00BA014B" w:rsidRPr="008F2A52">
        <w:rPr>
          <w:rFonts w:cs="Times New Roman"/>
          <w:color w:val="000000"/>
          <w:szCs w:val="24"/>
        </w:rPr>
        <w:t xml:space="preserve"> </w:t>
      </w:r>
      <w:r w:rsidRPr="008F2A52">
        <w:rPr>
          <w:rFonts w:cs="Times New Roman"/>
          <w:i/>
          <w:iCs/>
          <w:color w:val="000000"/>
          <w:szCs w:val="24"/>
        </w:rPr>
        <w:t>RPEA 11(b)(1)</w:t>
      </w:r>
      <w:r w:rsidRPr="008F2A52">
        <w:rPr>
          <w:rFonts w:cs="Times New Roman"/>
          <w:color w:val="000000"/>
          <w:szCs w:val="24"/>
        </w:rPr>
        <w:t>.</w:t>
      </w:r>
    </w:p>
    <w:sectPr w:rsidR="00310C48" w:rsidRPr="008F2A52" w:rsidSect="009A0A67">
      <w:footerReference w:type="default" r:id="rId10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8CFB9" w14:textId="77777777" w:rsidR="00B11043" w:rsidRDefault="00B11043" w:rsidP="00E10FF2">
      <w:r>
        <w:separator/>
      </w:r>
    </w:p>
  </w:endnote>
  <w:endnote w:type="continuationSeparator" w:id="0">
    <w:p w14:paraId="29FD32D5" w14:textId="77777777" w:rsidR="00B11043" w:rsidRDefault="00B11043" w:rsidP="00E10FF2">
      <w:r>
        <w:continuationSeparator/>
      </w:r>
    </w:p>
  </w:endnote>
  <w:endnote w:type="continuationNotice" w:id="1">
    <w:p w14:paraId="4EC97D01" w14:textId="77777777" w:rsidR="00B11043" w:rsidRDefault="00B11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3ADBA" w14:textId="77777777" w:rsidR="001C556C" w:rsidRDefault="001C556C">
    <w:pPr>
      <w:pStyle w:val="Footer"/>
      <w:rPr>
        <w:sz w:val="16"/>
        <w:szCs w:val="18"/>
      </w:rPr>
    </w:pPr>
  </w:p>
  <w:p w14:paraId="2175175E" w14:textId="21A04A29" w:rsidR="00E10FF2" w:rsidRPr="00F100B1" w:rsidRDefault="00E10FF2">
    <w:pPr>
      <w:pStyle w:val="Footer"/>
      <w:rPr>
        <w:sz w:val="16"/>
        <w:szCs w:val="18"/>
      </w:rPr>
    </w:pPr>
    <w:r w:rsidRPr="00F100B1">
      <w:rPr>
        <w:sz w:val="16"/>
        <w:szCs w:val="18"/>
      </w:rPr>
      <w:t>Arizona Supreme Court</w:t>
    </w:r>
    <w:r w:rsidRPr="00F100B1">
      <w:rPr>
        <w:sz w:val="16"/>
        <w:szCs w:val="18"/>
      </w:rPr>
      <w:ptab w:relativeTo="margin" w:alignment="center" w:leader="none"/>
    </w:r>
    <w:r w:rsidR="001C556C" w:rsidRPr="001C556C">
      <w:rPr>
        <w:sz w:val="16"/>
        <w:szCs w:val="18"/>
      </w:rPr>
      <w:t xml:space="preserve">Page </w:t>
    </w:r>
    <w:r w:rsidR="001C556C" w:rsidRPr="001C556C">
      <w:rPr>
        <w:sz w:val="16"/>
        <w:szCs w:val="18"/>
      </w:rPr>
      <w:fldChar w:fldCharType="begin"/>
    </w:r>
    <w:r w:rsidR="001C556C" w:rsidRPr="001C556C">
      <w:rPr>
        <w:sz w:val="16"/>
        <w:szCs w:val="18"/>
      </w:rPr>
      <w:instrText xml:space="preserve"> PAGE  \* Arabic  \* MERGEFORMAT </w:instrText>
    </w:r>
    <w:r w:rsidR="001C556C" w:rsidRPr="001C556C">
      <w:rPr>
        <w:sz w:val="16"/>
        <w:szCs w:val="18"/>
      </w:rPr>
      <w:fldChar w:fldCharType="separate"/>
    </w:r>
    <w:r w:rsidR="001C556C" w:rsidRPr="001C556C">
      <w:rPr>
        <w:noProof/>
        <w:sz w:val="16"/>
        <w:szCs w:val="18"/>
      </w:rPr>
      <w:t>1</w:t>
    </w:r>
    <w:r w:rsidR="001C556C" w:rsidRPr="001C556C">
      <w:rPr>
        <w:sz w:val="16"/>
        <w:szCs w:val="18"/>
      </w:rPr>
      <w:fldChar w:fldCharType="end"/>
    </w:r>
    <w:r w:rsidR="001C556C" w:rsidRPr="001C556C">
      <w:rPr>
        <w:sz w:val="16"/>
        <w:szCs w:val="18"/>
      </w:rPr>
      <w:t xml:space="preserve"> of </w:t>
    </w:r>
    <w:r w:rsidR="001C556C" w:rsidRPr="001C556C">
      <w:rPr>
        <w:sz w:val="16"/>
        <w:szCs w:val="18"/>
      </w:rPr>
      <w:fldChar w:fldCharType="begin"/>
    </w:r>
    <w:r w:rsidR="001C556C" w:rsidRPr="001C556C">
      <w:rPr>
        <w:sz w:val="16"/>
        <w:szCs w:val="18"/>
      </w:rPr>
      <w:instrText xml:space="preserve"> NUMPAGES  \* Arabic  \* MERGEFORMAT </w:instrText>
    </w:r>
    <w:r w:rsidR="001C556C" w:rsidRPr="001C556C">
      <w:rPr>
        <w:sz w:val="16"/>
        <w:szCs w:val="18"/>
      </w:rPr>
      <w:fldChar w:fldCharType="separate"/>
    </w:r>
    <w:r w:rsidR="001C556C" w:rsidRPr="001C556C">
      <w:rPr>
        <w:noProof/>
        <w:sz w:val="16"/>
        <w:szCs w:val="18"/>
      </w:rPr>
      <w:t>2</w:t>
    </w:r>
    <w:r w:rsidR="001C556C" w:rsidRPr="001C556C">
      <w:rPr>
        <w:sz w:val="16"/>
        <w:szCs w:val="18"/>
      </w:rPr>
      <w:fldChar w:fldCharType="end"/>
    </w:r>
    <w:r w:rsidRPr="00F100B1">
      <w:rPr>
        <w:sz w:val="16"/>
        <w:szCs w:val="18"/>
      </w:rPr>
      <w:ptab w:relativeTo="margin" w:alignment="right" w:leader="none"/>
    </w:r>
    <w:r w:rsidRPr="00F100B1">
      <w:rPr>
        <w:sz w:val="16"/>
        <w:szCs w:val="18"/>
      </w:rPr>
      <w:t>LJEA00005I-</w:t>
    </w:r>
    <w:r w:rsidR="00D83190">
      <w:rPr>
        <w:sz w:val="16"/>
        <w:szCs w:val="18"/>
      </w:rPr>
      <w:t>040122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0B032" w14:textId="77777777" w:rsidR="00B11043" w:rsidRDefault="00B11043" w:rsidP="00E10FF2">
      <w:r>
        <w:separator/>
      </w:r>
    </w:p>
  </w:footnote>
  <w:footnote w:type="continuationSeparator" w:id="0">
    <w:p w14:paraId="4753CBF3" w14:textId="77777777" w:rsidR="00B11043" w:rsidRDefault="00B11043" w:rsidP="00E10FF2">
      <w:r>
        <w:continuationSeparator/>
      </w:r>
    </w:p>
  </w:footnote>
  <w:footnote w:type="continuationNotice" w:id="1">
    <w:p w14:paraId="1EFA8499" w14:textId="77777777" w:rsidR="00B11043" w:rsidRDefault="00B11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44FEA"/>
    <w:multiLevelType w:val="hybridMultilevel"/>
    <w:tmpl w:val="10283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2D7DCF"/>
    <w:multiLevelType w:val="hybridMultilevel"/>
    <w:tmpl w:val="93B4D4D4"/>
    <w:lvl w:ilvl="0" w:tplc="54304E82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9D4C61"/>
    <w:multiLevelType w:val="hybridMultilevel"/>
    <w:tmpl w:val="AF0ABBA6"/>
    <w:lvl w:ilvl="0" w:tplc="54304E82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BE69AB"/>
    <w:multiLevelType w:val="hybridMultilevel"/>
    <w:tmpl w:val="4590F602"/>
    <w:lvl w:ilvl="0" w:tplc="6C6CD7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4A5DEF"/>
    <w:multiLevelType w:val="hybridMultilevel"/>
    <w:tmpl w:val="0D0E44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42"/>
    <w:rsid w:val="000B4742"/>
    <w:rsid w:val="000D7EEF"/>
    <w:rsid w:val="000E3761"/>
    <w:rsid w:val="001C556C"/>
    <w:rsid w:val="0021018C"/>
    <w:rsid w:val="00214F49"/>
    <w:rsid w:val="002A3700"/>
    <w:rsid w:val="002C65D5"/>
    <w:rsid w:val="002F46D9"/>
    <w:rsid w:val="00310C48"/>
    <w:rsid w:val="00386BB3"/>
    <w:rsid w:val="00390A75"/>
    <w:rsid w:val="003C147F"/>
    <w:rsid w:val="003E2529"/>
    <w:rsid w:val="00405892"/>
    <w:rsid w:val="004D14B5"/>
    <w:rsid w:val="00515C86"/>
    <w:rsid w:val="00551822"/>
    <w:rsid w:val="005F19EF"/>
    <w:rsid w:val="00751823"/>
    <w:rsid w:val="007542B9"/>
    <w:rsid w:val="007720B5"/>
    <w:rsid w:val="0082480B"/>
    <w:rsid w:val="00825542"/>
    <w:rsid w:val="008A3989"/>
    <w:rsid w:val="008F2A52"/>
    <w:rsid w:val="009A0A67"/>
    <w:rsid w:val="00A12E1B"/>
    <w:rsid w:val="00B11043"/>
    <w:rsid w:val="00BA014B"/>
    <w:rsid w:val="00BA3137"/>
    <w:rsid w:val="00C26CB9"/>
    <w:rsid w:val="00C74352"/>
    <w:rsid w:val="00CB6AE6"/>
    <w:rsid w:val="00CF6F0F"/>
    <w:rsid w:val="00D13381"/>
    <w:rsid w:val="00D83190"/>
    <w:rsid w:val="00DB4E78"/>
    <w:rsid w:val="00E10FF2"/>
    <w:rsid w:val="00E66839"/>
    <w:rsid w:val="00EF3E35"/>
    <w:rsid w:val="00F100B1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8823A"/>
  <w15:docId w15:val="{BF56F36C-9525-488E-90A0-61D2A1CC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FF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FF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F6F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F08I</Sort_x0020_ID>
    <EffectiveDate xmlns="521f91b8-91cc-4ac0-8293-5b66aee000f1">2022-04-01T07:00:00+00:00</EffectiveDate>
    <CaseType xmlns="521f91b8-91cc-4ac0-8293-5b66aee000f1">Eviction</CaseType>
    <FormNo_x002e_0 xmlns="521f91b8-91cc-4ac0-8293-5b66aee000f1">LJEA00005I</FormNo_x002e_0>
    <CourtType xmlns="521f91b8-91cc-4ac0-8293-5b66aee000f1" xsi:nil="true"/>
    <Notes xmlns="521f91b8-91cc-4ac0-8293-5b66aee000f1" xsi:nil="true"/>
    <FormNo_x002e_ xmlns="521f91b8-91cc-4ac0-8293-5b66aee000f1">Defendant Procedures</FormNo_x002e_>
    <Mandatory xmlns="521f91b8-91cc-4ac0-8293-5b66aee000f1">false</Mandatory>
    <Miscellaneous xmlns="521f91b8-91cc-4ac0-8293-5b66aee000f1">false</Miscellaneo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68591-503E-4C10-B2F7-9E22D8EC0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</ds:schemaRefs>
</ds:datastoreItem>
</file>

<file path=customXml/itemProps2.xml><?xml version="1.0" encoding="utf-8"?>
<ds:datastoreItem xmlns:ds="http://schemas.openxmlformats.org/officeDocument/2006/customXml" ds:itemID="{EED18136-136E-437E-96DB-9DEF0BE15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F908E-8810-458D-82BD-BFA1AA80A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732</Characters>
  <Application>Microsoft Office Word</Application>
  <DocSecurity>0</DocSecurity>
  <Lines>66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Defendant Procedures</dc:title>
  <dc:creator>Arizona Supreme Court</dc:creator>
  <cp:lastModifiedBy>Graber, Julie</cp:lastModifiedBy>
  <cp:revision>3</cp:revision>
  <dcterms:created xsi:type="dcterms:W3CDTF">2022-01-25T18:55:00Z</dcterms:created>
  <dcterms:modified xsi:type="dcterms:W3CDTF">2022-01-25T18:55:00Z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