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70F5" w14:textId="77777777" w:rsidR="00F12ECE" w:rsidRPr="0097317C" w:rsidRDefault="00F12ECE" w:rsidP="00F12ECE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76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3BFA4E08" w14:textId="77777777" w:rsidR="00F12ECE" w:rsidRPr="0097317C" w:rsidRDefault="00F12ECE" w:rsidP="00F12ECE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276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0C905962" w14:textId="77777777" w:rsidR="00F12ECE" w:rsidRPr="0097317C" w:rsidRDefault="00F12ECE" w:rsidP="00F12ECE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276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18C1BB3A" w14:textId="77777777" w:rsidR="00F12ECE" w:rsidRPr="0097317C" w:rsidRDefault="00F12ECE" w:rsidP="00F12ECE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276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5B386381" w14:textId="77777777" w:rsidR="00F12ECE" w:rsidRPr="0097317C" w:rsidRDefault="00F12ECE" w:rsidP="00F12ECE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276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1D4E37FD" w14:textId="77777777" w:rsidR="00F12ECE" w:rsidRPr="0097317C" w:rsidRDefault="00F12ECE" w:rsidP="00F12ECE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276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Clerk’s Use Only</w:t>
      </w:r>
    </w:p>
    <w:p w14:paraId="5CC69C81" w14:textId="77777777" w:rsidR="00F12ECE" w:rsidRPr="0097317C" w:rsidRDefault="00F12ECE" w:rsidP="00F12ECE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76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4A6EF886" w14:textId="77777777" w:rsidR="00F12ECE" w:rsidRPr="0097317C" w:rsidRDefault="00F12ECE" w:rsidP="00F12ECE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76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1E410998" w14:textId="77777777" w:rsidR="00F12ECE" w:rsidRPr="0097317C" w:rsidRDefault="00F12ECE" w:rsidP="00F12ECE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76" w:lineRule="auto"/>
        <w:ind w:firstLine="0"/>
        <w:jc w:val="left"/>
        <w:rPr>
          <w:rFonts w:ascii="Times New Roman" w:eastAsia="Calibri" w:hAnsi="Times New Roman"/>
          <w:bCs/>
          <w:snapToGrid/>
          <w:szCs w:val="24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4019C8B0" w14:textId="77777777" w:rsidR="00F12ECE" w:rsidRPr="0097317C" w:rsidRDefault="00F12ECE" w:rsidP="00F12ECE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76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3834D1D1" w14:textId="77777777" w:rsidR="00F12ECE" w:rsidRPr="0097317C" w:rsidRDefault="00F12ECE" w:rsidP="00F12ECE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76" w:lineRule="auto"/>
        <w:ind w:right="3150"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5D621C82" w14:textId="77777777" w:rsidR="00F12ECE" w:rsidRPr="0097317C" w:rsidRDefault="00F12ECE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Lawyer’s Bar Number: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17ECA269" w14:textId="77777777" w:rsidR="00F12ECE" w:rsidRPr="0097317C" w:rsidRDefault="00F12ECE" w:rsidP="00F12ECE">
      <w:pPr>
        <w:widowControl w:val="0"/>
        <w:spacing w:after="0" w:line="276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Cs w:val="24"/>
        </w:rPr>
      </w:pPr>
    </w:p>
    <w:p w14:paraId="6C1F614C" w14:textId="77777777" w:rsidR="00F12ECE" w:rsidRPr="0097317C" w:rsidRDefault="00F12ECE" w:rsidP="00F12ECE">
      <w:pPr>
        <w:widowControl w:val="0"/>
        <w:spacing w:after="200" w:line="276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 w:val="28"/>
          <w:szCs w:val="36"/>
        </w:rPr>
      </w:pP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97317C">
        <w:rPr>
          <w:rFonts w:ascii="Times New Roman" w:eastAsia="Times New Roman" w:hAnsi="Times New Roman"/>
          <w:snapToGrid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napToGrid/>
          <w:sz w:val="28"/>
          <w:szCs w:val="36"/>
        </w:rPr>
        <w:t>JUSTICE COURT, ARIZONA</w:t>
      </w:r>
    </w:p>
    <w:p w14:paraId="0AE48192" w14:textId="77777777" w:rsidR="00F12ECE" w:rsidRPr="0097317C" w:rsidRDefault="00F12ECE" w:rsidP="00F12ECE">
      <w:pPr>
        <w:spacing w:before="120" w:after="0" w:line="276" w:lineRule="auto"/>
        <w:ind w:firstLine="0"/>
        <w:jc w:val="center"/>
        <w:rPr>
          <w:rFonts w:ascii="Times New Roman" w:eastAsia="Calibri" w:hAnsi="Times New Roman"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/>
          <w:snapToGrid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snapToGrid/>
          <w:szCs w:val="24"/>
          <w:u w:val="single"/>
        </w:rPr>
        <w:tab/>
      </w:r>
    </w:p>
    <w:p w14:paraId="7B4B734F" w14:textId="77777777" w:rsidR="00F12ECE" w:rsidRPr="0097317C" w:rsidRDefault="00F12ECE" w:rsidP="00F12ECE">
      <w:pPr>
        <w:spacing w:before="120" w:after="0" w:line="276" w:lineRule="auto"/>
        <w:ind w:firstLine="0"/>
        <w:jc w:val="center"/>
        <w:rPr>
          <w:rFonts w:ascii="Times New Roman" w:eastAsia="Calibri" w:hAnsi="Times New Roman"/>
          <w:snapToGrid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F12ECE" w:rsidRPr="0097317C" w14:paraId="7312F8CF" w14:textId="77777777" w:rsidTr="006902D1">
        <w:tc>
          <w:tcPr>
            <w:tcW w:w="4320" w:type="dxa"/>
          </w:tcPr>
          <w:p w14:paraId="1893A386" w14:textId="77777777" w:rsidR="00F12ECE" w:rsidRPr="0097317C" w:rsidRDefault="00F12ECE" w:rsidP="00F12ECE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72F50F0A" w14:textId="77777777" w:rsidR="00F12ECE" w:rsidRPr="0097317C" w:rsidRDefault="00F12ECE" w:rsidP="00F12ECE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3E4ED7C9" w14:textId="77777777" w:rsidR="00F12ECE" w:rsidRPr="0097317C" w:rsidRDefault="00F12ECE" w:rsidP="00F12ECE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71B91C3F" w14:textId="77777777" w:rsidR="00F12ECE" w:rsidRPr="0097317C" w:rsidRDefault="00F12ECE" w:rsidP="00F12ECE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657DA21B" w14:textId="77777777" w:rsidR="00F12ECE" w:rsidRDefault="00F12ECE" w:rsidP="00F12ECE">
            <w:pPr>
              <w:tabs>
                <w:tab w:val="left" w:pos="403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1FC0E484" w14:textId="77777777" w:rsidR="00F12ECE" w:rsidRPr="0097317C" w:rsidRDefault="00F12ECE" w:rsidP="00F12ECE">
            <w:pPr>
              <w:tabs>
                <w:tab w:val="left" w:pos="403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60B5559" w14:textId="77777777" w:rsidR="00F12ECE" w:rsidRPr="0097317C" w:rsidRDefault="00F12ECE" w:rsidP="00F12ECE">
            <w:pPr>
              <w:tabs>
                <w:tab w:val="left" w:pos="403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3BD6166B" w14:textId="77777777" w:rsidR="00F12ECE" w:rsidRPr="0097317C" w:rsidRDefault="00F12ECE" w:rsidP="00F12ECE">
            <w:pPr>
              <w:tabs>
                <w:tab w:val="left" w:pos="403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F26CD9B" w14:textId="77777777" w:rsidR="00F12ECE" w:rsidRPr="0097317C" w:rsidRDefault="00F12ECE" w:rsidP="00F12ECE">
            <w:pPr>
              <w:spacing w:line="276" w:lineRule="auto"/>
              <w:ind w:left="-15" w:right="-11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>Plaintiff(s) Name / Address / Phone /</w:t>
            </w:r>
          </w:p>
          <w:p w14:paraId="2EAA78C5" w14:textId="77777777" w:rsidR="00F12ECE" w:rsidRPr="0097317C" w:rsidRDefault="00F12ECE" w:rsidP="00F12ECE">
            <w:pPr>
              <w:spacing w:line="276" w:lineRule="auto"/>
              <w:ind w:left="-15" w:right="-11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>Email</w:t>
            </w:r>
          </w:p>
        </w:tc>
        <w:tc>
          <w:tcPr>
            <w:tcW w:w="1440" w:type="dxa"/>
          </w:tcPr>
          <w:p w14:paraId="5CE7DFA7" w14:textId="77777777" w:rsidR="00F12ECE" w:rsidRPr="0097317C" w:rsidRDefault="00F12ECE" w:rsidP="00F12ECE">
            <w:pPr>
              <w:spacing w:line="276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467BEB73" w14:textId="77777777" w:rsidR="00F12ECE" w:rsidRPr="0097317C" w:rsidRDefault="00F12ECE" w:rsidP="00F12ECE">
            <w:pPr>
              <w:tabs>
                <w:tab w:val="left" w:pos="4025"/>
              </w:tabs>
              <w:spacing w:line="276" w:lineRule="auto"/>
              <w:ind w:left="-1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B047631" w14:textId="77777777" w:rsidR="00F12ECE" w:rsidRPr="0097317C" w:rsidRDefault="00F12ECE" w:rsidP="00F12ECE">
            <w:pPr>
              <w:tabs>
                <w:tab w:val="left" w:pos="402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1537005B" w14:textId="77777777" w:rsidR="00F12ECE" w:rsidRPr="0097317C" w:rsidRDefault="00F12ECE" w:rsidP="00F12ECE">
            <w:pPr>
              <w:spacing w:line="276" w:lineRule="auto"/>
              <w:ind w:firstLine="0"/>
              <w:jc w:val="left"/>
              <w:rPr>
                <w:rFonts w:ascii="Times New Roman" w:eastAsia="Arial" w:hAnsi="Times New Roman"/>
                <w:b/>
                <w:bCs/>
                <w:snapToGrid/>
                <w:szCs w:val="24"/>
              </w:rPr>
            </w:pPr>
            <w:r w:rsidRPr="0097317C"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 xml:space="preserve">NOTICE OF </w:t>
            </w:r>
            <w:r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 xml:space="preserve">RIGHT TO </w:t>
            </w:r>
            <w:r w:rsidRPr="0097317C"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>APPEAL</w:t>
            </w:r>
            <w:r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 xml:space="preserve"> - CIVIL</w:t>
            </w:r>
            <w:r w:rsidRPr="0097317C"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ab/>
            </w:r>
          </w:p>
          <w:p w14:paraId="7A1572A1" w14:textId="77777777" w:rsidR="00F12ECE" w:rsidRPr="0097317C" w:rsidRDefault="00F12ECE" w:rsidP="00F12ECE">
            <w:pPr>
              <w:tabs>
                <w:tab w:val="left" w:pos="403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23DB86F2" w14:textId="77777777" w:rsidR="00F12ECE" w:rsidRPr="0097317C" w:rsidRDefault="00F12ECE" w:rsidP="00F12ECE">
            <w:pPr>
              <w:tabs>
                <w:tab w:val="left" w:pos="403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37D4C084" w14:textId="77777777" w:rsidR="00F12ECE" w:rsidRPr="0097317C" w:rsidRDefault="00F12ECE" w:rsidP="00F12ECE">
            <w:pPr>
              <w:tabs>
                <w:tab w:val="left" w:pos="4035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77EA502E" w14:textId="77777777" w:rsidR="00F12ECE" w:rsidRPr="0097317C" w:rsidRDefault="00F12ECE" w:rsidP="00F12ECE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>Defendant(s) Name / Address / Phone / Email</w:t>
            </w:r>
          </w:p>
        </w:tc>
      </w:tr>
    </w:tbl>
    <w:p w14:paraId="1F310C91" w14:textId="77777777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4D52F4DC" w14:textId="210D8842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Cs/>
          <w:snapToGrid/>
          <w:szCs w:val="24"/>
        </w:rPr>
        <w:t xml:space="preserve">A party may appeal a final </w:t>
      </w:r>
      <w:proofErr w:type="gramStart"/>
      <w:r w:rsidRPr="00604D01">
        <w:rPr>
          <w:rFonts w:ascii="Times New Roman" w:eastAsia="Arial" w:hAnsi="Times New Roman"/>
          <w:bCs/>
          <w:snapToGrid/>
          <w:szCs w:val="24"/>
        </w:rPr>
        <w:t>order</w:t>
      </w:r>
      <w:proofErr w:type="gramEnd"/>
      <w:r w:rsidRPr="00604D01">
        <w:rPr>
          <w:rFonts w:ascii="Times New Roman" w:eastAsia="Arial" w:hAnsi="Times New Roman"/>
          <w:bCs/>
          <w:snapToGrid/>
          <w:szCs w:val="24"/>
        </w:rPr>
        <w:t xml:space="preserve"> or a final judgment entered in any civil case (including eviction actions, injunctions against harassment, orders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of protection, and workplace harassment). This notice explains your rights and responsibilities to file an appeal from such an order or judgment.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The appeal procedure is set forth in Superior Court Rules of Appellate Procedure, effective June 1, 2003, and in the Arizona Revised Statutes.</w:t>
      </w:r>
    </w:p>
    <w:p w14:paraId="5E30808B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4906F0EC" w14:textId="14C075A6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Cs/>
          <w:snapToGrid/>
          <w:szCs w:val="24"/>
        </w:rPr>
        <w:t>There are two separate stages to the appeal process. The first stage begins in the Justice Court; the second stage takes place in the Superior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Court. You must complete ALL steps at both stages, </w:t>
      </w:r>
      <w:proofErr w:type="gramStart"/>
      <w:r w:rsidRPr="00604D01">
        <w:rPr>
          <w:rFonts w:ascii="Times New Roman" w:eastAsia="Arial" w:hAnsi="Times New Roman"/>
          <w:bCs/>
          <w:snapToGrid/>
          <w:szCs w:val="24"/>
        </w:rPr>
        <w:t>or</w:t>
      </w:r>
      <w:proofErr w:type="gramEnd"/>
      <w:r w:rsidRPr="00604D01">
        <w:rPr>
          <w:rFonts w:ascii="Times New Roman" w:eastAsia="Arial" w:hAnsi="Times New Roman"/>
          <w:bCs/>
          <w:snapToGrid/>
          <w:szCs w:val="24"/>
        </w:rPr>
        <w:t xml:space="preserve"> you risk having your appeal dismissed. This notice does not set forth all the rules that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govern the appeal process. You may review the complete rules at the library as contained in the Superior Court Rules of Appellate Procedure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and in the Arizona Revised Statutes. It is recommended that you keep a copy of all your documents during the appeal process.</w:t>
      </w:r>
    </w:p>
    <w:p w14:paraId="366E17C7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5C31FC58" w14:textId="215CE0E7" w:rsidR="00604D01" w:rsidRDefault="00604D01" w:rsidP="00F12ECE">
      <w:pPr>
        <w:keepNext/>
        <w:keepLines/>
        <w:spacing w:after="0" w:line="276" w:lineRule="auto"/>
        <w:ind w:left="720"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F12ECE">
        <w:rPr>
          <w:rFonts w:ascii="Times New Roman" w:eastAsia="Arial" w:hAnsi="Times New Roman"/>
          <w:b/>
          <w:snapToGrid/>
          <w:szCs w:val="24"/>
        </w:rPr>
        <w:lastRenderedPageBreak/>
        <w:t>SPECIAL NOTE REGARDING EVICTION ACTION APPEALS.</w:t>
      </w:r>
      <w:r>
        <w:rPr>
          <w:rFonts w:ascii="Times New Roman" w:eastAsia="Arial" w:hAnsi="Times New Roman"/>
          <w:bCs/>
          <w:i/>
          <w:i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There are some processes that differ, depending on the type of case being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appealed. Please note the different timelines applicable to eviction action appeals and the two kinds of supersedeas bonds that may be posted.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You may review the specific statutes applicable to eviction action appeals in the Arizona Revised Statutes, Title 12, Article 4 and in the Arizona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Residential Landlord Tenant Act available from the Secretary of State or online at </w:t>
      </w:r>
      <w:hyperlink r:id="rId7" w:history="1">
        <w:r w:rsidRPr="009A0E4A">
          <w:rPr>
            <w:rStyle w:val="Hyperlink"/>
            <w:rFonts w:ascii="Times New Roman" w:eastAsia="Arial" w:hAnsi="Times New Roman"/>
            <w:bCs/>
            <w:snapToGrid/>
            <w:szCs w:val="24"/>
          </w:rPr>
          <w:t>http://www.azhousing.gov/</w:t>
        </w:r>
      </w:hyperlink>
      <w:r w:rsidR="003E7F50">
        <w:rPr>
          <w:rFonts w:ascii="Times New Roman" w:eastAsia="Arial" w:hAnsi="Times New Roman"/>
          <w:bCs/>
          <w:snapToGrid/>
          <w:szCs w:val="24"/>
        </w:rPr>
        <w:t>.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</w:p>
    <w:p w14:paraId="3F4D61F8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566FC553" w14:textId="561F7DA9" w:rsidR="00222297" w:rsidRDefault="00604D01" w:rsidP="00F12ECE">
      <w:pPr>
        <w:widowControl w:val="0"/>
        <w:spacing w:after="0" w:line="276" w:lineRule="auto"/>
        <w:ind w:left="720"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F12ECE">
        <w:rPr>
          <w:rFonts w:ascii="Times New Roman" w:eastAsia="Arial" w:hAnsi="Times New Roman"/>
          <w:b/>
          <w:snapToGrid/>
          <w:szCs w:val="24"/>
        </w:rPr>
        <w:t>SPECIAL NOTE REGARDING APPEALS OF ORDERS OF PROTECTION, INJUNCTIONS AGAINST HARASSMENT, and WORKPLACE HARASSMENT.</w:t>
      </w:r>
      <w:r>
        <w:rPr>
          <w:rFonts w:ascii="Times New Roman" w:eastAsia="Arial" w:hAnsi="Times New Roman"/>
          <w:bCs/>
          <w:i/>
          <w:i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This court does not assess fees with the appeal process. However, Superior Court will charge a filing fee for appeal of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workplace harassment. Also, you will be responsible for </w:t>
      </w:r>
      <w:proofErr w:type="gramStart"/>
      <w:r w:rsidRPr="00604D01">
        <w:rPr>
          <w:rFonts w:ascii="Times New Roman" w:eastAsia="Arial" w:hAnsi="Times New Roman"/>
          <w:bCs/>
          <w:snapToGrid/>
          <w:szCs w:val="24"/>
        </w:rPr>
        <w:t>making arrangements</w:t>
      </w:r>
      <w:proofErr w:type="gramEnd"/>
      <w:r w:rsidRPr="00604D01">
        <w:rPr>
          <w:rFonts w:ascii="Times New Roman" w:eastAsia="Arial" w:hAnsi="Times New Roman"/>
          <w:bCs/>
          <w:snapToGrid/>
          <w:szCs w:val="24"/>
        </w:rPr>
        <w:t xml:space="preserve"> for payment of preparation of the transcript of the record of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proceedings. Additionally, unless otherwise ordered by the court, the protective or injunctive order will stay in effect pending the appeal.</w:t>
      </w:r>
      <w:r w:rsidRPr="00604D01">
        <w:rPr>
          <w:rFonts w:ascii="Times New Roman" w:eastAsia="Arial" w:hAnsi="Times New Roman"/>
          <w:bCs/>
          <w:snapToGrid/>
          <w:szCs w:val="24"/>
        </w:rPr>
        <w:cr/>
      </w:r>
    </w:p>
    <w:p w14:paraId="76DB0E2E" w14:textId="77777777" w:rsidR="00604D01" w:rsidRPr="00F12ECE" w:rsidRDefault="00604D01" w:rsidP="00F12ECE">
      <w:pPr>
        <w:widowControl w:val="0"/>
        <w:spacing w:after="0" w:line="276" w:lineRule="auto"/>
        <w:ind w:right="-14" w:firstLine="0"/>
        <w:jc w:val="center"/>
        <w:rPr>
          <w:rFonts w:ascii="Times New Roman" w:eastAsia="Arial" w:hAnsi="Times New Roman"/>
          <w:b/>
          <w:snapToGrid/>
          <w:szCs w:val="24"/>
          <w:u w:val="single"/>
        </w:rPr>
      </w:pPr>
      <w:r w:rsidRPr="00F12ECE">
        <w:rPr>
          <w:rFonts w:ascii="Times New Roman" w:eastAsia="Arial" w:hAnsi="Times New Roman"/>
          <w:b/>
          <w:snapToGrid/>
          <w:szCs w:val="24"/>
          <w:u w:val="single"/>
        </w:rPr>
        <w:t>STAGE ONE - THE TRIAL COURT</w:t>
      </w:r>
    </w:p>
    <w:p w14:paraId="4CBBFF7C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Cs/>
          <w:snapToGrid/>
          <w:szCs w:val="24"/>
        </w:rPr>
        <w:t>The trial court is the justice court.</w:t>
      </w:r>
    </w:p>
    <w:p w14:paraId="15130D00" w14:textId="77777777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16FD662B" w14:textId="77777777" w:rsidR="00F12ECE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/>
          <w:snapToGrid/>
          <w:szCs w:val="24"/>
        </w:rPr>
        <w:t>THE NOTICE OF APPEAL</w:t>
      </w:r>
      <w:r>
        <w:rPr>
          <w:rFonts w:ascii="Times New Roman" w:eastAsia="Arial" w:hAnsi="Times New Roman"/>
          <w:b/>
          <w:snapToGrid/>
          <w:szCs w:val="24"/>
        </w:rPr>
        <w:t xml:space="preserve">. </w:t>
      </w:r>
      <w:r w:rsidRPr="00604D01">
        <w:rPr>
          <w:rFonts w:ascii="Times New Roman" w:eastAsia="Arial" w:hAnsi="Times New Roman"/>
          <w:bCs/>
          <w:snapToGrid/>
          <w:szCs w:val="24"/>
        </w:rPr>
        <w:t>To appeal you must file a NOTICE OF APPEAL with the trial court within fourteen (14) calendar days from the date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of the judgment. </w:t>
      </w:r>
    </w:p>
    <w:p w14:paraId="69BC2FBB" w14:textId="77777777" w:rsidR="00F12ECE" w:rsidRDefault="00F12ECE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0804A6DF" w14:textId="17076A64" w:rsidR="00F12ECE" w:rsidRDefault="00604D01" w:rsidP="00F12ECE">
      <w:pPr>
        <w:widowControl w:val="0"/>
        <w:spacing w:after="0" w:line="276" w:lineRule="auto"/>
        <w:ind w:left="720"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F12ECE">
        <w:rPr>
          <w:rFonts w:ascii="Times New Roman" w:eastAsia="Arial" w:hAnsi="Times New Roman"/>
          <w:b/>
          <w:snapToGrid/>
          <w:szCs w:val="24"/>
        </w:rPr>
        <w:t>SPECIAL NOTE REGARDING EVICTION ACTION APPEALS</w:t>
      </w:r>
      <w:r w:rsidR="00F12ECE" w:rsidRPr="00F12ECE">
        <w:rPr>
          <w:rFonts w:ascii="Times New Roman" w:eastAsia="Arial" w:hAnsi="Times New Roman"/>
          <w:b/>
          <w:snapToGrid/>
          <w:szCs w:val="24"/>
        </w:rPr>
        <w:t>.</w:t>
      </w:r>
      <w:r w:rsidRPr="00F12ECE">
        <w:rPr>
          <w:rFonts w:ascii="Times New Roman" w:eastAsia="Arial" w:hAnsi="Times New Roman"/>
          <w:b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To appeal this type of case, you must file a NOTICE OF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APPEAL with the trial court within FIVE (5) calendar days from the date of the judgment. </w:t>
      </w:r>
    </w:p>
    <w:p w14:paraId="13EF69C9" w14:textId="77777777" w:rsidR="00F12ECE" w:rsidRDefault="00F12ECE" w:rsidP="00F12ECE">
      <w:pPr>
        <w:widowControl w:val="0"/>
        <w:spacing w:after="0" w:line="276" w:lineRule="auto"/>
        <w:ind w:left="720"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2913E8CD" w14:textId="4832919F" w:rsidR="00604D01" w:rsidRDefault="00604D01" w:rsidP="00F12ECE">
      <w:pPr>
        <w:widowControl w:val="0"/>
        <w:spacing w:after="0" w:line="276" w:lineRule="auto"/>
        <w:ind w:left="720"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F12ECE">
        <w:rPr>
          <w:rFonts w:ascii="Times New Roman" w:eastAsia="Arial" w:hAnsi="Times New Roman"/>
          <w:b/>
          <w:snapToGrid/>
          <w:szCs w:val="24"/>
        </w:rPr>
        <w:t>SPECIAL NOTE REGARDING IMMEDIATE EVICTION ACTION APPEALS</w:t>
      </w:r>
      <w:r w:rsidR="00F12ECE" w:rsidRPr="00F12ECE">
        <w:rPr>
          <w:rFonts w:ascii="Times New Roman" w:eastAsia="Arial" w:hAnsi="Times New Roman"/>
          <w:b/>
          <w:snapToGrid/>
          <w:szCs w:val="24"/>
        </w:rPr>
        <w:t xml:space="preserve">. </w:t>
      </w:r>
      <w:r w:rsidRPr="00604D01">
        <w:rPr>
          <w:rFonts w:ascii="Times New Roman" w:eastAsia="Arial" w:hAnsi="Times New Roman"/>
          <w:bCs/>
          <w:snapToGrid/>
          <w:szCs w:val="24"/>
        </w:rPr>
        <w:t>A judgment resulting from an irreparable breach will be carried out immediately. Any appeal should be filed before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enforcement of a Writ of Restitution (within 12 to 24 hours after the judgment is entered).</w:t>
      </w:r>
    </w:p>
    <w:p w14:paraId="27D422AF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32169AC7" w14:textId="0D1AE410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Cs/>
          <w:snapToGrid/>
          <w:szCs w:val="24"/>
        </w:rPr>
        <w:t>If you do not file a NOTICE OF APPEAL within the time allowed by law, you lose the right to appeal. The time to file cannot be extended. It is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required that you designate the specific judgment or order you are appealing in the NOTICE OF APPEAL. If you file an appeal you are the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APPELLANT. The opposing party is the APPELLEE. The Justice Court is the trial court.</w:t>
      </w:r>
    </w:p>
    <w:p w14:paraId="5BABF7C7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79488BA3" w14:textId="46C92942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/>
          <w:snapToGrid/>
          <w:szCs w:val="24"/>
        </w:rPr>
        <w:t>APPEAL FEES.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On or before the deadline to appeal, you must pay an appeal fee (see court fee schedule). The fee includes the cost of a copy of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the audio recorded proceedings, a certification of the appeal record, and the transmittal of the record on appeal to the Superior Court. The court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will accept CASH, CHECK, CREDIT CARD or MONEY ORDER</w:t>
      </w:r>
      <w:r>
        <w:rPr>
          <w:rFonts w:ascii="Times New Roman" w:eastAsia="Arial" w:hAnsi="Times New Roman"/>
          <w:bCs/>
          <w:snapToGrid/>
          <w:szCs w:val="24"/>
        </w:rPr>
        <w:t>.</w:t>
      </w:r>
    </w:p>
    <w:p w14:paraId="3FC54C15" w14:textId="77777777" w:rsidR="00F12ECE" w:rsidRDefault="00F12ECE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/>
          <w:snapToGrid/>
          <w:szCs w:val="24"/>
        </w:rPr>
      </w:pPr>
    </w:p>
    <w:p w14:paraId="0F4F57B3" w14:textId="670ED9C5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THE RECORD</w:t>
      </w:r>
      <w:r w:rsidR="003E7F50" w:rsidRPr="003E7F50">
        <w:rPr>
          <w:rFonts w:ascii="Times New Roman" w:eastAsia="Arial" w:hAnsi="Times New Roman"/>
          <w:b/>
          <w:snapToGrid/>
          <w:szCs w:val="24"/>
        </w:rPr>
        <w:t>.</w:t>
      </w:r>
      <w:r w:rsidRPr="003E7F50">
        <w:rPr>
          <w:rFonts w:ascii="Times New Roman" w:eastAsia="Arial" w:hAnsi="Times New Roman"/>
          <w:b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The justice court record is made by CD or video. The court will contact you to pick up a copy of the audio record within ten (10)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days after you have paid the required fees. To listen to your audio </w:t>
      </w:r>
      <w:r w:rsidR="00F12ECE" w:rsidRPr="00604D01">
        <w:rPr>
          <w:rFonts w:ascii="Times New Roman" w:eastAsia="Arial" w:hAnsi="Times New Roman"/>
          <w:bCs/>
          <w:snapToGrid/>
          <w:szCs w:val="24"/>
        </w:rPr>
        <w:t>record,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you may need to access and download the appropriate software at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hyperlink r:id="rId8" w:history="1">
        <w:r w:rsidRPr="009A0E4A">
          <w:rPr>
            <w:rStyle w:val="Hyperlink"/>
            <w:rFonts w:ascii="Times New Roman" w:eastAsia="Arial" w:hAnsi="Times New Roman"/>
            <w:bCs/>
            <w:snapToGrid/>
            <w:szCs w:val="24"/>
          </w:rPr>
          <w:t>http://www.fortherecord.com/</w:t>
        </w:r>
      </w:hyperlink>
      <w:r>
        <w:rPr>
          <w:rFonts w:ascii="Times New Roman" w:eastAsia="Arial" w:hAnsi="Times New Roman"/>
          <w:bCs/>
          <w:snapToGrid/>
          <w:szCs w:val="24"/>
        </w:rPr>
        <w:t xml:space="preserve">. </w:t>
      </w:r>
      <w:r w:rsidRPr="00604D01">
        <w:rPr>
          <w:rFonts w:ascii="Times New Roman" w:eastAsia="Arial" w:hAnsi="Times New Roman"/>
          <w:bCs/>
          <w:snapToGrid/>
          <w:szCs w:val="24"/>
        </w:rPr>
        <w:t>If the audio record is more than 90 minutes in length, it will be necessary for you to pay a court reporter to prepare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 transcript (a typed record) of the proceedings. You can find a listing for COURT REPORTERS in the yellow pages of the telephone book.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Within the deadline to appeal (5 days for eviction action and 14 days for all other civil), you must </w:t>
      </w:r>
      <w:proofErr w:type="gramStart"/>
      <w:r w:rsidRPr="00604D01">
        <w:rPr>
          <w:rFonts w:ascii="Times New Roman" w:eastAsia="Arial" w:hAnsi="Times New Roman"/>
          <w:bCs/>
          <w:snapToGrid/>
          <w:szCs w:val="24"/>
        </w:rPr>
        <w:t>make arrangements</w:t>
      </w:r>
      <w:proofErr w:type="gramEnd"/>
      <w:r w:rsidRPr="00604D01">
        <w:rPr>
          <w:rFonts w:ascii="Times New Roman" w:eastAsia="Arial" w:hAnsi="Times New Roman"/>
          <w:bCs/>
          <w:snapToGrid/>
          <w:szCs w:val="24"/>
        </w:rPr>
        <w:t xml:space="preserve"> with the court reporter or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transcriber to pay any record or transcript preparation fees. The transcript must be filed with the trial court before or at the same time you file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your memorandum (see FILING THE APPEAL MEMORANDUM).</w:t>
      </w:r>
    </w:p>
    <w:p w14:paraId="5C82AAB1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5AC042AF" w14:textId="508B9C38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/>
          <w:snapToGrid/>
          <w:szCs w:val="24"/>
        </w:rPr>
        <w:t xml:space="preserve">DESIGNATE THE RECORD. </w:t>
      </w:r>
      <w:r w:rsidRPr="00604D01">
        <w:rPr>
          <w:rFonts w:ascii="Times New Roman" w:eastAsia="Arial" w:hAnsi="Times New Roman"/>
          <w:bCs/>
          <w:snapToGrid/>
          <w:szCs w:val="24"/>
        </w:rPr>
        <w:t>Within the time to appeal you must designate the record with the trial court by filing a formal list of the items you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want included in the record on appeal.</w:t>
      </w:r>
    </w:p>
    <w:p w14:paraId="16F4FC18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324E17AB" w14:textId="6453DE24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/>
          <w:snapToGrid/>
          <w:szCs w:val="24"/>
        </w:rPr>
        <w:t>THE COST BOND.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On or before the deadline to appeal you must pay a COST BOND. The bond is set at $250.00. The purpose of this bond is to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cover court costs incurred by the APPELLEE, in defending the appeal. If you cannot afford to pay the cost bond, you must complete an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AFFIDAVIT OF INABILITY TO POST BOND. The opposing party has a right to object to such an affidavit and the court may hold a hearing to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determine the validity of the affidavit.</w:t>
      </w:r>
    </w:p>
    <w:p w14:paraId="007E09DC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3C0117A5" w14:textId="20EB76B4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/>
          <w:snapToGrid/>
          <w:szCs w:val="24"/>
        </w:rPr>
        <w:t>SUPERSEDEAS BOND(S).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The purpose of a supersedeas bond is to stay enforcement of the judgment. The two supersedeas bonds explained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here have two separate purposes. One will stay collection actions on the amount of the judgment awarded, </w:t>
      </w:r>
      <w:r w:rsidR="00F12ECE" w:rsidRPr="00604D01">
        <w:rPr>
          <w:rFonts w:ascii="Times New Roman" w:eastAsia="Arial" w:hAnsi="Times New Roman"/>
          <w:bCs/>
          <w:snapToGrid/>
          <w:szCs w:val="24"/>
        </w:rPr>
        <w:t>i.e.,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garnishment proceedings. The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other will stay any eviction proceeding resulting from a</w:t>
      </w:r>
      <w:r>
        <w:rPr>
          <w:rFonts w:ascii="Times New Roman" w:eastAsia="Arial" w:hAnsi="Times New Roman"/>
          <w:bCs/>
          <w:snapToGrid/>
          <w:szCs w:val="24"/>
        </w:rPr>
        <w:t>n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eviction action judgment. You may still exercise your right to appeal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without posting a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supersedeas bond. But you must post one or both supersedeas bonds to stay enforcement of the judgment.</w:t>
      </w:r>
    </w:p>
    <w:p w14:paraId="57B3D1C4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2C55DCA0" w14:textId="0559FEAB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/>
          <w:snapToGrid/>
          <w:szCs w:val="24"/>
        </w:rPr>
        <w:t>TO STAY COLLECTION PROCEEDINGS.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The amount of the bond is the total amount of the judgment ordered by the court, including court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costs, attorney fees, damages, etc. The purpose of this bond is to stay collection proceedings on the money judgment awarded, </w:t>
      </w:r>
      <w:r w:rsidR="00F12ECE" w:rsidRPr="00604D01">
        <w:rPr>
          <w:rFonts w:ascii="Times New Roman" w:eastAsia="Arial" w:hAnsi="Times New Roman"/>
          <w:bCs/>
          <w:snapToGrid/>
          <w:szCs w:val="24"/>
        </w:rPr>
        <w:t>i.e.,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a Writ of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Execution, where personal property may be taken and sold to satisfy the judgment, or garnishment proceedings. The stay becomes effective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when the bond is posted.</w:t>
      </w:r>
    </w:p>
    <w:p w14:paraId="3E4DF8B4" w14:textId="77777777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1D10A901" w14:textId="72A96183" w:rsidR="00604D01" w:rsidRPr="00F12ECE" w:rsidRDefault="00604D01" w:rsidP="00F12ECE">
      <w:pPr>
        <w:widowControl w:val="0"/>
        <w:spacing w:after="0" w:line="276" w:lineRule="auto"/>
        <w:ind w:left="720" w:right="-14" w:firstLine="0"/>
        <w:jc w:val="left"/>
        <w:rPr>
          <w:rFonts w:ascii="Times New Roman" w:eastAsia="Arial" w:hAnsi="Times New Roman"/>
          <w:b/>
          <w:snapToGrid/>
          <w:szCs w:val="24"/>
        </w:rPr>
      </w:pPr>
      <w:r w:rsidRPr="00F12ECE">
        <w:rPr>
          <w:rFonts w:ascii="Times New Roman" w:eastAsia="Arial" w:hAnsi="Times New Roman"/>
          <w:b/>
          <w:snapToGrid/>
          <w:szCs w:val="24"/>
        </w:rPr>
        <w:t>SPECIAL NOTE REGARDING EVICTION ACTION APPEALS</w:t>
      </w:r>
      <w:r w:rsidR="00F12ECE">
        <w:rPr>
          <w:rFonts w:ascii="Times New Roman" w:eastAsia="Arial" w:hAnsi="Times New Roman"/>
          <w:b/>
          <w:snapToGrid/>
          <w:szCs w:val="24"/>
        </w:rPr>
        <w:t>.</w:t>
      </w:r>
    </w:p>
    <w:p w14:paraId="0B8FA305" w14:textId="25B7FC96" w:rsidR="00604D01" w:rsidRDefault="00604D01" w:rsidP="007E509B">
      <w:pPr>
        <w:widowControl w:val="0"/>
        <w:spacing w:before="120" w:after="0" w:line="276" w:lineRule="auto"/>
        <w:ind w:left="720"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 xml:space="preserve">TO STAY EVICTION. </w:t>
      </w:r>
      <w:r w:rsidRPr="00604D01">
        <w:rPr>
          <w:rFonts w:ascii="Times New Roman" w:eastAsia="Arial" w:hAnsi="Times New Roman"/>
          <w:bCs/>
          <w:snapToGrid/>
          <w:szCs w:val="24"/>
        </w:rPr>
        <w:t>A separate supersedeas bond must be posted to stay eviction proceedings enforced by a WRIT OF RESTITUTION. The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amount of the bond is the amount of rent due from the date of the judgment to the next periodic rental due date, plus court costs and attorney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fees ordered in the judgment. To stay the eviction proceedings a supersedeas bond must be posted before the Writ of Restitution is enforced.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The stay becomes effective when the bond is posted, but cannot be retroactive if the Writ has already been executed. A judgment resulting from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an irreparable breach will be carried out immediately. A supersedeas bond to stay the eviction must be filed before enforcement of the Writ of</w:t>
      </w:r>
      <w:r w:rsidR="007E509B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Restitution (within 12 to 24 hours after the judgment is entered) to have a stay effect on the eviction.</w:t>
      </w:r>
    </w:p>
    <w:p w14:paraId="39739891" w14:textId="2943B0E1" w:rsidR="00604D01" w:rsidRDefault="00604D01" w:rsidP="00F12ECE">
      <w:pPr>
        <w:widowControl w:val="0"/>
        <w:spacing w:after="0" w:line="276" w:lineRule="auto"/>
        <w:ind w:left="720"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PAYMENT OF RENT.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In addition, all rent payments must be paid to the trial court on or before the rental due date, pending the appeal process.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If the rent is not timely received, the plaintiff may pursue a WRIT OF RESTITUTION for execution of the judgment for possession. All bonds are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paid to the trial court. The court will accept CASH, ATTORNEY TRUST CHECK, or CASHIER</w:t>
      </w:r>
      <w:r w:rsidR="003E7F50">
        <w:rPr>
          <w:rFonts w:ascii="Times New Roman" w:eastAsia="Arial" w:hAnsi="Times New Roman"/>
          <w:bCs/>
          <w:snapToGrid/>
          <w:szCs w:val="24"/>
        </w:rPr>
        <w:t>’</w:t>
      </w:r>
      <w:r w:rsidRPr="00604D01">
        <w:rPr>
          <w:rFonts w:ascii="Times New Roman" w:eastAsia="Arial" w:hAnsi="Times New Roman"/>
          <w:bCs/>
          <w:snapToGrid/>
          <w:szCs w:val="24"/>
        </w:rPr>
        <w:t>S CHECK for payment of bonds.</w:t>
      </w:r>
    </w:p>
    <w:p w14:paraId="0F8F11B0" w14:textId="77777777" w:rsidR="003E7F50" w:rsidRPr="00604D01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71CB4AD5" w14:textId="4943DF61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THE WRITTEN APPEAL MEMORANDUM</w:t>
      </w:r>
      <w:r w:rsidR="003E7F50" w:rsidRPr="003E7F50">
        <w:rPr>
          <w:rFonts w:ascii="Times New Roman" w:eastAsia="Arial" w:hAnsi="Times New Roman"/>
          <w:b/>
          <w:snapToGrid/>
          <w:szCs w:val="24"/>
        </w:rPr>
        <w:t>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You will need the record for the next step - the APPELLANT</w:t>
      </w:r>
      <w:r w:rsidR="003E7F50">
        <w:rPr>
          <w:rFonts w:ascii="Times New Roman" w:eastAsia="Arial" w:hAnsi="Times New Roman"/>
          <w:bCs/>
          <w:snapToGrid/>
          <w:szCs w:val="24"/>
        </w:rPr>
        <w:t>’</w:t>
      </w:r>
      <w:r w:rsidRPr="00604D01">
        <w:rPr>
          <w:rFonts w:ascii="Times New Roman" w:eastAsia="Arial" w:hAnsi="Times New Roman"/>
          <w:bCs/>
          <w:snapToGrid/>
          <w:szCs w:val="24"/>
        </w:rPr>
        <w:t>S MEMORANDUM. The appellant</w:t>
      </w:r>
      <w:r w:rsidR="003E7F50">
        <w:rPr>
          <w:rFonts w:ascii="Times New Roman" w:eastAsia="Arial" w:hAnsi="Times New Roman"/>
          <w:bCs/>
          <w:snapToGrid/>
          <w:szCs w:val="24"/>
        </w:rPr>
        <w:t>’</w:t>
      </w:r>
      <w:r w:rsidRPr="00604D01">
        <w:rPr>
          <w:rFonts w:ascii="Times New Roman" w:eastAsia="Arial" w:hAnsi="Times New Roman"/>
          <w:bCs/>
          <w:snapToGrid/>
          <w:szCs w:val="24"/>
        </w:rPr>
        <w:t>s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memorandum is your written explanation of why the trial court ruling was legally wrong. Normally your memorandum should refer to specific</w:t>
      </w:r>
    </w:p>
    <w:p w14:paraId="1823C037" w14:textId="5703E14F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604D01">
        <w:rPr>
          <w:rFonts w:ascii="Times New Roman" w:eastAsia="Arial" w:hAnsi="Times New Roman"/>
          <w:bCs/>
          <w:snapToGrid/>
          <w:szCs w:val="24"/>
        </w:rPr>
        <w:t>portions of the record of the trial or hearing to point out where there was error by the court. That is why a written record (the transcript) must be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prepared. The memorandum should be typed or printed on letter-sized white paper, double spaced, and not exceed 15 pages in length. In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addition, you may also attach exhibits from your hearing to the memorandum. Type or print the caption of the case and your case number at the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top of your memorandum. Type or print the title, APPELLANT</w:t>
      </w:r>
      <w:r w:rsidR="003E7F50">
        <w:rPr>
          <w:rFonts w:ascii="Times New Roman" w:eastAsia="Arial" w:hAnsi="Times New Roman"/>
          <w:bCs/>
          <w:snapToGrid/>
          <w:szCs w:val="24"/>
        </w:rPr>
        <w:t>’</w:t>
      </w:r>
      <w:r w:rsidRPr="00604D01">
        <w:rPr>
          <w:rFonts w:ascii="Times New Roman" w:eastAsia="Arial" w:hAnsi="Times New Roman"/>
          <w:bCs/>
          <w:snapToGrid/>
          <w:szCs w:val="24"/>
        </w:rPr>
        <w:t>S MEMORANDUM, below the caption so that court can identify it when it is filed. If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you are not represented by an attorney you must file the original with the trial court, and one additional copy of the memorandum for every party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in the case. The other side will then have 30 days to file an APPELLEE</w:t>
      </w:r>
      <w:r w:rsidR="003E7F50">
        <w:rPr>
          <w:rFonts w:ascii="Times New Roman" w:eastAsia="Arial" w:hAnsi="Times New Roman"/>
          <w:bCs/>
          <w:snapToGrid/>
          <w:szCs w:val="24"/>
        </w:rPr>
        <w:t>’</w:t>
      </w:r>
      <w:r w:rsidRPr="00604D01">
        <w:rPr>
          <w:rFonts w:ascii="Times New Roman" w:eastAsia="Arial" w:hAnsi="Times New Roman"/>
          <w:bCs/>
          <w:snapToGrid/>
          <w:szCs w:val="24"/>
        </w:rPr>
        <w:t>S RESPONSE MEMORANDUM.</w:t>
      </w:r>
    </w:p>
    <w:p w14:paraId="1B1E4CB2" w14:textId="77777777" w:rsidR="003E7F50" w:rsidRPr="00604D01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61D320E4" w14:textId="28643708" w:rsidR="00604D01" w:rsidRP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FILING THE APPEAL MEMORANDUM (within 60 days)</w:t>
      </w:r>
      <w:r w:rsidR="003E7F50" w:rsidRPr="003E7F50">
        <w:rPr>
          <w:rFonts w:ascii="Times New Roman" w:eastAsia="Arial" w:hAnsi="Times New Roman"/>
          <w:b/>
          <w:snapToGrid/>
          <w:szCs w:val="24"/>
        </w:rPr>
        <w:t>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The APPELLANT</w:t>
      </w:r>
      <w:r w:rsidR="003E7F50">
        <w:rPr>
          <w:rFonts w:ascii="Times New Roman" w:eastAsia="Arial" w:hAnsi="Times New Roman"/>
          <w:bCs/>
          <w:snapToGrid/>
          <w:szCs w:val="24"/>
        </w:rPr>
        <w:t>’</w:t>
      </w:r>
      <w:r w:rsidRPr="00604D01">
        <w:rPr>
          <w:rFonts w:ascii="Times New Roman" w:eastAsia="Arial" w:hAnsi="Times New Roman"/>
          <w:bCs/>
          <w:snapToGrid/>
          <w:szCs w:val="24"/>
        </w:rPr>
        <w:t>S</w:t>
      </w:r>
      <w:r w:rsidR="007E509B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MEMORANDUM together with the TYPED TRANSCRIPT (if the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taped proceedings are more than 90 minutes) must be filed with the court within 60 calendar days of the deadline to file the NOTICE OF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APPEAL.</w:t>
      </w:r>
    </w:p>
    <w:p w14:paraId="3BADAD5C" w14:textId="77777777" w:rsid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3343F7CE" w14:textId="2BD11EDD" w:rsidR="00604D01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WAIT FOR FURTHER INSTRUCTIONS</w:t>
      </w:r>
      <w:r w:rsidR="003E7F50" w:rsidRPr="003E7F50">
        <w:rPr>
          <w:rFonts w:ascii="Times New Roman" w:eastAsia="Arial" w:hAnsi="Times New Roman"/>
          <w:b/>
          <w:snapToGrid/>
          <w:szCs w:val="24"/>
        </w:rPr>
        <w:t>.</w:t>
      </w:r>
      <w:r w:rsidRPr="00604D01">
        <w:rPr>
          <w:rFonts w:ascii="Times New Roman" w:eastAsia="Arial" w:hAnsi="Times New Roman"/>
          <w:bCs/>
          <w:snapToGrid/>
          <w:szCs w:val="24"/>
        </w:rPr>
        <w:t xml:space="preserve"> Once the memorandum has been filed, you should wait for further instructions from the Superior Court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as outlined in Stage Two. Remember that the trial court must have your current mailing address at all times to keep you informed. Even if you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hire an attorney your address is still required for legal notifications.</w:t>
      </w:r>
    </w:p>
    <w:p w14:paraId="1099CF84" w14:textId="77777777" w:rsidR="003E7F50" w:rsidRPr="00604D01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18F1EAF4" w14:textId="5DD3399C" w:rsidR="00222297" w:rsidRDefault="00604D01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CROSS-APPEALS</w:t>
      </w:r>
      <w:r w:rsidR="003E7F50" w:rsidRPr="003E7F50">
        <w:rPr>
          <w:rFonts w:ascii="Times New Roman" w:eastAsia="Arial" w:hAnsi="Times New Roman"/>
          <w:b/>
          <w:snapToGrid/>
          <w:szCs w:val="24"/>
        </w:rPr>
        <w:t>.</w:t>
      </w:r>
      <w:r w:rsidRPr="003E7F50">
        <w:rPr>
          <w:rFonts w:ascii="Times New Roman" w:eastAsia="Arial" w:hAnsi="Times New Roman"/>
          <w:b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The rules regarding cross-appeals are set forth in full detail in the Superior Court Rules of Appellate Procedure previously</w:t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604D01">
        <w:rPr>
          <w:rFonts w:ascii="Times New Roman" w:eastAsia="Arial" w:hAnsi="Times New Roman"/>
          <w:bCs/>
          <w:snapToGrid/>
          <w:szCs w:val="24"/>
        </w:rPr>
        <w:t>mentioned herein.</w:t>
      </w:r>
      <w:r w:rsidRPr="00604D01">
        <w:rPr>
          <w:rFonts w:ascii="Times New Roman" w:eastAsia="Arial" w:hAnsi="Times New Roman"/>
          <w:bCs/>
          <w:snapToGrid/>
          <w:szCs w:val="24"/>
        </w:rPr>
        <w:cr/>
      </w:r>
    </w:p>
    <w:p w14:paraId="0C925296" w14:textId="77777777" w:rsidR="003E7F50" w:rsidRPr="007E509B" w:rsidRDefault="003E7F50" w:rsidP="00F12ECE">
      <w:pPr>
        <w:widowControl w:val="0"/>
        <w:spacing w:after="0" w:line="276" w:lineRule="auto"/>
        <w:ind w:right="-14" w:firstLine="0"/>
        <w:jc w:val="center"/>
        <w:rPr>
          <w:rFonts w:ascii="Times New Roman" w:eastAsia="Arial" w:hAnsi="Times New Roman"/>
          <w:b/>
          <w:snapToGrid/>
          <w:szCs w:val="24"/>
          <w:u w:val="single"/>
        </w:rPr>
      </w:pPr>
      <w:r w:rsidRPr="007E509B">
        <w:rPr>
          <w:rFonts w:ascii="Times New Roman" w:eastAsia="Arial" w:hAnsi="Times New Roman"/>
          <w:b/>
          <w:snapToGrid/>
          <w:szCs w:val="24"/>
          <w:u w:val="single"/>
        </w:rPr>
        <w:t>STAGE TWO - THE SUPERIOR COURT</w:t>
      </w:r>
    </w:p>
    <w:p w14:paraId="7340431E" w14:textId="687541FA" w:rsidR="003E7F50" w:rsidRDefault="003E7F50" w:rsidP="007E509B">
      <w:pPr>
        <w:widowControl w:val="0"/>
        <w:spacing w:before="120" w:after="0" w:line="276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PAYING THE SUPERIOR COURT FILING FEE.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If you have completed all of the first stage, your case moves to Superior Court. About 60 days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after you file your memorandum, you will receive a notice from the Superior Court. This notice will instruct you to pay the Superior Court filing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 xml:space="preserve">fee. You must pay this filing </w:t>
      </w:r>
      <w:r w:rsidR="007E509B" w:rsidRPr="003E7F50">
        <w:rPr>
          <w:rFonts w:ascii="Times New Roman" w:eastAsia="Arial" w:hAnsi="Times New Roman"/>
          <w:bCs/>
          <w:snapToGrid/>
          <w:szCs w:val="24"/>
        </w:rPr>
        <w:t>fee,</w:t>
      </w:r>
      <w:r w:rsidRPr="003E7F50">
        <w:rPr>
          <w:rFonts w:ascii="Times New Roman" w:eastAsia="Arial" w:hAnsi="Times New Roman"/>
          <w:bCs/>
          <w:snapToGrid/>
          <w:szCs w:val="24"/>
        </w:rPr>
        <w:t xml:space="preserve"> or your appeal may be </w:t>
      </w:r>
      <w:proofErr w:type="gramStart"/>
      <w:r w:rsidRPr="003E7F50">
        <w:rPr>
          <w:rFonts w:ascii="Times New Roman" w:eastAsia="Arial" w:hAnsi="Times New Roman"/>
          <w:bCs/>
          <w:snapToGrid/>
          <w:szCs w:val="24"/>
        </w:rPr>
        <w:t>dismissed</w:t>
      </w:r>
      <w:proofErr w:type="gramEnd"/>
      <w:r w:rsidRPr="003E7F50">
        <w:rPr>
          <w:rFonts w:ascii="Times New Roman" w:eastAsia="Arial" w:hAnsi="Times New Roman"/>
          <w:bCs/>
          <w:snapToGrid/>
          <w:szCs w:val="24"/>
        </w:rPr>
        <w:t xml:space="preserve"> and your case sent back to the trial court. If you cannot afford to pay the filing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 xml:space="preserve">fee, you must contact the Superior Court clerk for information about a possible waiver or extension to make payment later. </w:t>
      </w:r>
      <w:r w:rsidR="007E509B">
        <w:rPr>
          <w:rFonts w:ascii="Times New Roman" w:eastAsia="Arial" w:hAnsi="Times New Roman"/>
          <w:bCs/>
          <w:snapToGrid/>
          <w:szCs w:val="24"/>
        </w:rPr>
        <w:br/>
      </w:r>
    </w:p>
    <w:p w14:paraId="7168C0D9" w14:textId="1C28935D" w:rsidR="003E7F50" w:rsidRPr="003E7F50" w:rsidRDefault="003E7F50" w:rsidP="007E509B">
      <w:pPr>
        <w:keepNext/>
        <w:keepLines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SUPERIOR COURT ACTION ON THE APPEAL.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If you have completed all of these steps, you will receive a ruling from the Superior Court. The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Superior Court has the right to affirm the trial court, overrule the trial court, modify some of the trial court</w:t>
      </w:r>
      <w:r>
        <w:rPr>
          <w:rFonts w:ascii="Times New Roman" w:eastAsia="Arial" w:hAnsi="Times New Roman"/>
          <w:bCs/>
          <w:snapToGrid/>
          <w:szCs w:val="24"/>
        </w:rPr>
        <w:t>’</w:t>
      </w:r>
      <w:r w:rsidRPr="003E7F50">
        <w:rPr>
          <w:rFonts w:ascii="Times New Roman" w:eastAsia="Arial" w:hAnsi="Times New Roman"/>
          <w:bCs/>
          <w:snapToGrid/>
          <w:szCs w:val="24"/>
        </w:rPr>
        <w:t>s decision, or, if the record is not clear,</w:t>
      </w:r>
    </w:p>
    <w:p w14:paraId="5E956CB8" w14:textId="5B58671B" w:rsid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order a new trial in the Superior Court. If the final outcome of your case is that the ruling stands, or if your appeal is dismissed for any reason,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the court may use any bond, deposit or payments made to satisfy your obligation under the original judgment. You may have to return to the trial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court to receive further instructions.</w:t>
      </w:r>
    </w:p>
    <w:p w14:paraId="69785CDC" w14:textId="77777777" w:rsidR="003E7F50" w:rsidRP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0B55F5CF" w14:textId="27991D84" w:rsid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/>
          <w:snapToGrid/>
          <w:szCs w:val="24"/>
        </w:rPr>
        <w:t>DISPOSITION OF EXHIBITS UPON FINAL JUDGMENT.</w:t>
      </w:r>
      <w:r w:rsidRPr="003E7F50">
        <w:rPr>
          <w:rFonts w:ascii="Times New Roman" w:eastAsia="Arial" w:hAnsi="Times New Roman"/>
          <w:bCs/>
          <w:snapToGrid/>
          <w:szCs w:val="24"/>
        </w:rPr>
        <w:t xml:space="preserve"> After a judgment has become final and non-appealable, a person who files a request,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under penalty of perjury, setting forth ownership of, or lawful entitlement to the possession of an exhibit, may obtain an ex-</w:t>
      </w:r>
      <w:proofErr w:type="spellStart"/>
      <w:r w:rsidRPr="003E7F50">
        <w:rPr>
          <w:rFonts w:ascii="Times New Roman" w:eastAsia="Arial" w:hAnsi="Times New Roman"/>
          <w:bCs/>
          <w:snapToGrid/>
          <w:szCs w:val="24"/>
        </w:rPr>
        <w:t>parte</w:t>
      </w:r>
      <w:proofErr w:type="spellEnd"/>
      <w:r w:rsidRPr="003E7F50">
        <w:rPr>
          <w:rFonts w:ascii="Times New Roman" w:eastAsia="Arial" w:hAnsi="Times New Roman"/>
          <w:bCs/>
          <w:snapToGrid/>
          <w:szCs w:val="24"/>
        </w:rPr>
        <w:t xml:space="preserve"> order permitting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its withdrawal. Ninety (90) days after a judgment has become final and non-appealable, the court having possession thereof may dispose of all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case related exhibits in its possession. REMINDER: The appeal will not be sent to Superior Court until you have met all of the following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requirements:</w:t>
      </w:r>
    </w:p>
    <w:p w14:paraId="5871E4C1" w14:textId="77777777" w:rsidR="003E7F50" w:rsidRPr="003E7F50" w:rsidRDefault="003E7F50" w:rsidP="00F12ECE">
      <w:pPr>
        <w:pStyle w:val="ListParagraph"/>
        <w:widowControl w:val="0"/>
        <w:numPr>
          <w:ilvl w:val="0"/>
          <w:numId w:val="4"/>
        </w:numPr>
        <w:spacing w:after="0" w:line="276" w:lineRule="auto"/>
        <w:ind w:right="-14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File a timely NOTICE OF APPEAL.</w:t>
      </w:r>
    </w:p>
    <w:p w14:paraId="246199F4" w14:textId="42AE22EB" w:rsidR="003E7F50" w:rsidRPr="003E7F50" w:rsidRDefault="003E7F50" w:rsidP="00F12ECE">
      <w:pPr>
        <w:pStyle w:val="ListParagraph"/>
        <w:widowControl w:val="0"/>
        <w:numPr>
          <w:ilvl w:val="0"/>
          <w:numId w:val="4"/>
        </w:numPr>
        <w:spacing w:after="0" w:line="276" w:lineRule="auto"/>
        <w:ind w:right="-14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Pay the appeal fees.</w:t>
      </w:r>
    </w:p>
    <w:p w14:paraId="4F5BF750" w14:textId="7A6D6514" w:rsidR="003E7F50" w:rsidRPr="003E7F50" w:rsidRDefault="003E7F50" w:rsidP="00F12ECE">
      <w:pPr>
        <w:pStyle w:val="ListParagraph"/>
        <w:widowControl w:val="0"/>
        <w:numPr>
          <w:ilvl w:val="0"/>
          <w:numId w:val="4"/>
        </w:numPr>
        <w:spacing w:after="0" w:line="276" w:lineRule="auto"/>
        <w:ind w:right="-14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Pay the $250.00 cost bond or filed an AFFIDAVIT OF INABILITY TO POST BOND.</w:t>
      </w:r>
    </w:p>
    <w:p w14:paraId="31742AE7" w14:textId="27B2EC7B" w:rsidR="003E7F50" w:rsidRPr="003E7F50" w:rsidRDefault="003E7F50" w:rsidP="00F12ECE">
      <w:pPr>
        <w:pStyle w:val="ListParagraph"/>
        <w:widowControl w:val="0"/>
        <w:numPr>
          <w:ilvl w:val="0"/>
          <w:numId w:val="4"/>
        </w:numPr>
        <w:spacing w:after="0" w:line="276" w:lineRule="auto"/>
        <w:ind w:right="-14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proofErr w:type="gramStart"/>
      <w:r w:rsidRPr="003E7F50">
        <w:rPr>
          <w:rFonts w:ascii="Times New Roman" w:eastAsia="Arial" w:hAnsi="Times New Roman"/>
          <w:bCs/>
          <w:snapToGrid/>
          <w:szCs w:val="24"/>
        </w:rPr>
        <w:t>Make arrangements</w:t>
      </w:r>
      <w:proofErr w:type="gramEnd"/>
      <w:r w:rsidRPr="003E7F50">
        <w:rPr>
          <w:rFonts w:ascii="Times New Roman" w:eastAsia="Arial" w:hAnsi="Times New Roman"/>
          <w:bCs/>
          <w:snapToGrid/>
          <w:szCs w:val="24"/>
        </w:rPr>
        <w:t xml:space="preserve"> with any court reporter or transcriber to pay any record or transcript preparations fees (within 14 days from the final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order or final judgment - if the record is longer than 90 minutes; or within five (5) days from the final order or final judgment if an eviction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3E7F50">
        <w:rPr>
          <w:rFonts w:ascii="Times New Roman" w:eastAsia="Arial" w:hAnsi="Times New Roman"/>
          <w:bCs/>
          <w:snapToGrid/>
          <w:szCs w:val="24"/>
        </w:rPr>
        <w:t>action.)</w:t>
      </w:r>
    </w:p>
    <w:p w14:paraId="509EABE5" w14:textId="57EB837B" w:rsidR="003E7F50" w:rsidRPr="003E7F50" w:rsidRDefault="003E7F50" w:rsidP="00F12ECE">
      <w:pPr>
        <w:pStyle w:val="ListParagraph"/>
        <w:widowControl w:val="0"/>
        <w:numPr>
          <w:ilvl w:val="0"/>
          <w:numId w:val="4"/>
        </w:numPr>
        <w:spacing w:after="0" w:line="276" w:lineRule="auto"/>
        <w:ind w:right="-14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Prepare and file a transcript, if required.</w:t>
      </w:r>
    </w:p>
    <w:p w14:paraId="72355112" w14:textId="08AC08FA" w:rsidR="003E7F50" w:rsidRPr="003E7F50" w:rsidRDefault="003E7F50" w:rsidP="00F12ECE">
      <w:pPr>
        <w:pStyle w:val="ListParagraph"/>
        <w:widowControl w:val="0"/>
        <w:numPr>
          <w:ilvl w:val="0"/>
          <w:numId w:val="4"/>
        </w:numPr>
        <w:spacing w:after="0" w:line="276" w:lineRule="auto"/>
        <w:ind w:right="-14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File the Memorandum.</w:t>
      </w:r>
    </w:p>
    <w:p w14:paraId="380E1284" w14:textId="1010DB8C" w:rsidR="003E7F50" w:rsidRDefault="003E7F50" w:rsidP="00F12ECE">
      <w:pPr>
        <w:pStyle w:val="ListParagraph"/>
        <w:widowControl w:val="0"/>
        <w:numPr>
          <w:ilvl w:val="0"/>
          <w:numId w:val="4"/>
        </w:numPr>
        <w:spacing w:after="0" w:line="276" w:lineRule="auto"/>
        <w:ind w:right="-14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Pay the Superior Court filing fee (if applicable)</w:t>
      </w:r>
    </w:p>
    <w:p w14:paraId="7B0900E2" w14:textId="2373DE4E" w:rsid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10AA7A8A" w14:textId="77777777" w:rsidR="003E7F50" w:rsidRP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I also understand that I have a right to post a supersedeas bond(s) to stay enforcement of the judgment.</w:t>
      </w:r>
    </w:p>
    <w:p w14:paraId="3BB24C46" w14:textId="77777777" w:rsid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2F242816" w14:textId="64DADF38" w:rsidR="003E7F50" w:rsidRP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E7F50">
        <w:rPr>
          <w:rFonts w:ascii="Times New Roman" w:eastAsia="Arial" w:hAnsi="Times New Roman"/>
          <w:bCs/>
          <w:snapToGrid/>
          <w:szCs w:val="24"/>
        </w:rPr>
        <w:t>I hereby acknowledge receipt of a copy of this Notice.</w:t>
      </w:r>
      <w:r w:rsidRPr="003E7F50">
        <w:rPr>
          <w:rFonts w:ascii="Times New Roman" w:eastAsia="Arial" w:hAnsi="Times New Roman"/>
          <w:bCs/>
          <w:snapToGrid/>
          <w:szCs w:val="24"/>
        </w:rPr>
        <w:cr/>
      </w:r>
    </w:p>
    <w:p w14:paraId="7F52D3ED" w14:textId="77777777" w:rsid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13CF5867" w14:textId="77777777" w:rsidR="00222297" w:rsidRPr="00222297" w:rsidRDefault="00222297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147F1F05" w14:textId="77777777" w:rsidR="00ED545A" w:rsidRDefault="00CF5745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52641E95" w14:textId="01790DC3" w:rsidR="003E7F50" w:rsidRDefault="00CF5745" w:rsidP="00F12ECE">
      <w:pPr>
        <w:widowControl w:val="0"/>
        <w:spacing w:after="12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 xml:space="preserve">Date </w:t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 w:rsidR="003E7F50">
        <w:rPr>
          <w:rFonts w:ascii="Times New Roman" w:eastAsia="Arial" w:hAnsi="Times New Roman"/>
          <w:bCs/>
          <w:snapToGrid/>
          <w:szCs w:val="24"/>
        </w:rPr>
        <w:t xml:space="preserve">[  ] </w:t>
      </w:r>
      <w:r w:rsidR="00222297">
        <w:rPr>
          <w:rFonts w:ascii="Times New Roman" w:eastAsia="Arial" w:hAnsi="Times New Roman"/>
          <w:bCs/>
          <w:snapToGrid/>
          <w:szCs w:val="24"/>
        </w:rPr>
        <w:t>Plaintiff</w:t>
      </w:r>
      <w:r w:rsidR="003E7F50">
        <w:rPr>
          <w:rFonts w:ascii="Times New Roman" w:eastAsia="Arial" w:hAnsi="Times New Roman"/>
          <w:bCs/>
          <w:snapToGrid/>
          <w:szCs w:val="24"/>
        </w:rPr>
        <w:tab/>
        <w:t>[  ] Defendant</w:t>
      </w:r>
    </w:p>
    <w:p w14:paraId="2E8B0A32" w14:textId="660F885A" w:rsidR="003E7F50" w:rsidRDefault="003E7F50" w:rsidP="00F12ECE">
      <w:pPr>
        <w:widowControl w:val="0"/>
        <w:spacing w:after="12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7CEECE31" w14:textId="77777777" w:rsidR="00592274" w:rsidRDefault="00592274" w:rsidP="00F12ECE">
      <w:pPr>
        <w:widowControl w:val="0"/>
        <w:spacing w:after="12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06A33C48" w14:textId="77777777" w:rsidR="003E7F50" w:rsidRDefault="003E7F50" w:rsidP="00F12ECE">
      <w:pPr>
        <w:widowControl w:val="0"/>
        <w:spacing w:after="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3F4C39D3" w14:textId="77777777" w:rsidR="003E7F50" w:rsidRPr="00CF5745" w:rsidRDefault="003E7F50" w:rsidP="00F12ECE">
      <w:pPr>
        <w:widowControl w:val="0"/>
        <w:spacing w:after="120" w:line="276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 xml:space="preserve">Date </w:t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  <w:t>[  ] Plaintiff</w:t>
      </w:r>
      <w:r>
        <w:rPr>
          <w:rFonts w:ascii="Times New Roman" w:eastAsia="Arial" w:hAnsi="Times New Roman"/>
          <w:bCs/>
          <w:snapToGrid/>
          <w:szCs w:val="24"/>
        </w:rPr>
        <w:tab/>
        <w:t>[  ] Defendant</w:t>
      </w:r>
    </w:p>
    <w:sectPr w:rsidR="003E7F50" w:rsidRPr="00CF5745" w:rsidSect="00222297">
      <w:headerReference w:type="default" r:id="rId9"/>
      <w:footerReference w:type="default" r:id="rId10"/>
      <w:footerReference w:type="first" r:id="rId11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22EE" w14:textId="77777777" w:rsidR="00900F5D" w:rsidRDefault="00900F5D" w:rsidP="0035671E">
      <w:pPr>
        <w:spacing w:after="0" w:line="240" w:lineRule="auto"/>
      </w:pPr>
      <w:r>
        <w:separator/>
      </w:r>
    </w:p>
  </w:endnote>
  <w:endnote w:type="continuationSeparator" w:id="0">
    <w:p w14:paraId="73022D18" w14:textId="77777777" w:rsidR="00900F5D" w:rsidRDefault="00900F5D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10223" w14:textId="77777777" w:rsidR="00C202CD" w:rsidRDefault="00C202CD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04FBB0D7" w14:textId="7DB5A93A" w:rsidR="0035671E" w:rsidRP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C202CD">
      <w:rPr>
        <w:rFonts w:ascii="Times New Roman" w:hAnsi="Times New Roman"/>
        <w:sz w:val="16"/>
        <w:szCs w:val="16"/>
      </w:rPr>
      <w:t xml:space="preserve">AOC </w:t>
    </w:r>
    <w:r>
      <w:rPr>
        <w:rFonts w:ascii="Times New Roman" w:hAnsi="Times New Roman"/>
        <w:sz w:val="16"/>
        <w:szCs w:val="16"/>
      </w:rPr>
      <w:t>LJEA</w:t>
    </w:r>
    <w:r w:rsidR="007E713B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>F-</w:t>
    </w:r>
    <w:r w:rsidR="003E7F50">
      <w:rPr>
        <w:rFonts w:ascii="Times New Roman" w:hAnsi="Times New Roman"/>
        <w:sz w:val="16"/>
        <w:szCs w:val="16"/>
      </w:rPr>
      <w:t>1001</w:t>
    </w:r>
    <w:r w:rsidR="00C202CD">
      <w:rPr>
        <w:rFonts w:ascii="Times New Roman" w:hAnsi="Times New Roman"/>
        <w:sz w:val="16"/>
        <w:szCs w:val="16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B9192" w14:textId="77777777" w:rsidR="00222297" w:rsidRDefault="00222297" w:rsidP="00222297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127C4D22" w14:textId="430DF49F" w:rsidR="00222297" w:rsidRPr="00222297" w:rsidRDefault="00222297" w:rsidP="00222297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3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AOC LJEA</w:t>
    </w:r>
    <w:r w:rsidR="007E713B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>F-</w:t>
    </w:r>
    <w:r w:rsidR="00604D01">
      <w:rPr>
        <w:rFonts w:ascii="Times New Roman" w:hAnsi="Times New Roman"/>
        <w:sz w:val="16"/>
        <w:szCs w:val="16"/>
      </w:rPr>
      <w:t>1001</w:t>
    </w:r>
    <w:r>
      <w:rPr>
        <w:rFonts w:ascii="Times New Roman" w:hAnsi="Times New Roman"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8CC89" w14:textId="77777777" w:rsidR="00900F5D" w:rsidRDefault="00900F5D" w:rsidP="0035671E">
      <w:pPr>
        <w:spacing w:after="0" w:line="240" w:lineRule="auto"/>
      </w:pPr>
      <w:r>
        <w:separator/>
      </w:r>
    </w:p>
  </w:footnote>
  <w:footnote w:type="continuationSeparator" w:id="0">
    <w:p w14:paraId="5D03B518" w14:textId="77777777" w:rsidR="00900F5D" w:rsidRDefault="00900F5D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32D6C" w14:textId="77777777" w:rsidR="006C21B5" w:rsidRPr="006C21B5" w:rsidRDefault="006C21B5" w:rsidP="006C21B5">
    <w:pPr>
      <w:pStyle w:val="Header"/>
      <w:tabs>
        <w:tab w:val="clear" w:pos="9360"/>
        <w:tab w:val="left" w:pos="5760"/>
        <w:tab w:val="right" w:pos="10080"/>
      </w:tabs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  <w:t xml:space="preserve">Case Number: </w:t>
    </w:r>
    <w:r>
      <w:rPr>
        <w:rFonts w:ascii="Times New Roman" w:hAnsi="Times New Roman"/>
        <w:szCs w:val="24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8DC"/>
    <w:multiLevelType w:val="hybridMultilevel"/>
    <w:tmpl w:val="895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1E2"/>
    <w:multiLevelType w:val="hybridMultilevel"/>
    <w:tmpl w:val="393A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E281A"/>
    <w:multiLevelType w:val="hybridMultilevel"/>
    <w:tmpl w:val="43FC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80E5B"/>
    <w:multiLevelType w:val="hybridMultilevel"/>
    <w:tmpl w:val="CCB6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427B0"/>
    <w:rsid w:val="00074614"/>
    <w:rsid w:val="000749F7"/>
    <w:rsid w:val="00076169"/>
    <w:rsid w:val="001B50C9"/>
    <w:rsid w:val="001D5029"/>
    <w:rsid w:val="00222297"/>
    <w:rsid w:val="0027445A"/>
    <w:rsid w:val="002C4C2B"/>
    <w:rsid w:val="002D35DC"/>
    <w:rsid w:val="002E7F6D"/>
    <w:rsid w:val="0035671E"/>
    <w:rsid w:val="003661E6"/>
    <w:rsid w:val="003E7F50"/>
    <w:rsid w:val="004265B1"/>
    <w:rsid w:val="004379F2"/>
    <w:rsid w:val="004C4F25"/>
    <w:rsid w:val="00514BA6"/>
    <w:rsid w:val="005346E8"/>
    <w:rsid w:val="00583455"/>
    <w:rsid w:val="00592274"/>
    <w:rsid w:val="005A5DC9"/>
    <w:rsid w:val="00604D01"/>
    <w:rsid w:val="006462FA"/>
    <w:rsid w:val="006C21B5"/>
    <w:rsid w:val="006F0FB5"/>
    <w:rsid w:val="00711730"/>
    <w:rsid w:val="007C4E4F"/>
    <w:rsid w:val="007E509B"/>
    <w:rsid w:val="007E713B"/>
    <w:rsid w:val="008617D0"/>
    <w:rsid w:val="008851E3"/>
    <w:rsid w:val="008E0332"/>
    <w:rsid w:val="008E2917"/>
    <w:rsid w:val="00900F5D"/>
    <w:rsid w:val="0092013C"/>
    <w:rsid w:val="00976759"/>
    <w:rsid w:val="0099458B"/>
    <w:rsid w:val="009C07A6"/>
    <w:rsid w:val="009C297A"/>
    <w:rsid w:val="009E4D72"/>
    <w:rsid w:val="00A346E4"/>
    <w:rsid w:val="00B60740"/>
    <w:rsid w:val="00B96731"/>
    <w:rsid w:val="00BE04E7"/>
    <w:rsid w:val="00C202CD"/>
    <w:rsid w:val="00C23058"/>
    <w:rsid w:val="00C54037"/>
    <w:rsid w:val="00C661C9"/>
    <w:rsid w:val="00CA5848"/>
    <w:rsid w:val="00CD3C18"/>
    <w:rsid w:val="00CF5745"/>
    <w:rsid w:val="00D23D84"/>
    <w:rsid w:val="00D64345"/>
    <w:rsid w:val="00DA709D"/>
    <w:rsid w:val="00DC79DB"/>
    <w:rsid w:val="00DE5295"/>
    <w:rsid w:val="00E6334D"/>
    <w:rsid w:val="00EA78CC"/>
    <w:rsid w:val="00EB3E48"/>
    <w:rsid w:val="00ED545A"/>
    <w:rsid w:val="00F12ECE"/>
    <w:rsid w:val="00F7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44DA9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920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D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D01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F12E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herecord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zhousing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FA21</Sort_x0020_ID>
    <EffectiveDate xmlns="521f91b8-91cc-4ac0-8293-5b66aee000f1">2021-10-01T07:00:00+00:00</EffectiveDate>
    <CaseType xmlns="521f91b8-91cc-4ac0-8293-5b66aee000f1">Eviction</CaseType>
    <FormNo_x002e_0 xmlns="521f91b8-91cc-4ac0-8293-5b66aee000f1">AOCLJEA20F</FormNo_x002e_0>
    <CourtType xmlns="521f91b8-91cc-4ac0-8293-5b66aee000f1" xsi:nil="true"/>
    <Notes xmlns="521f91b8-91cc-4ac0-8293-5b66aee000f1">Appeal</Notes>
    <FormNo_x002e_ xmlns="521f91b8-91cc-4ac0-8293-5b66aee000f1">Notice of Right to Appeal - Civil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58B1BBF4-79DB-44C5-9E63-4ED0531B42AD}"/>
</file>

<file path=customXml/itemProps2.xml><?xml version="1.0" encoding="utf-8"?>
<ds:datastoreItem xmlns:ds="http://schemas.openxmlformats.org/officeDocument/2006/customXml" ds:itemID="{B2F21208-1962-4883-93C3-A99ADA84AC6F}"/>
</file>

<file path=customXml/itemProps3.xml><?xml version="1.0" encoding="utf-8"?>
<ds:datastoreItem xmlns:ds="http://schemas.openxmlformats.org/officeDocument/2006/customXml" ds:itemID="{DD7571A0-3DDA-4F0E-A9C3-DF5CD4353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Right to Appeal - Civil</dc:title>
  <dc:subject/>
  <dc:creator>Graber, Julie</dc:creator>
  <cp:keywords/>
  <dc:description/>
  <cp:lastModifiedBy>Graber, Julie</cp:lastModifiedBy>
  <cp:revision>2</cp:revision>
  <dcterms:created xsi:type="dcterms:W3CDTF">2021-11-05T16:16:00Z</dcterms:created>
  <dcterms:modified xsi:type="dcterms:W3CDTF">2021-11-05T16:16:00Z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